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3B002" w14:textId="5A39F172" w:rsidR="0034367C" w:rsidRDefault="00633415">
      <w:pPr>
        <w:rPr>
          <w:rFonts w:ascii="Twinkl" w:hAnsi="Twinkl"/>
          <w:b/>
          <w:bCs/>
          <w:sz w:val="32"/>
          <w:szCs w:val="32"/>
        </w:rPr>
      </w:pPr>
      <w:r>
        <w:rPr>
          <w:noProof/>
          <w:lang w:eastAsia="en-GB"/>
        </w:rPr>
        <w:drawing>
          <wp:anchor distT="0" distB="0" distL="114300" distR="114300" simplePos="0" relativeHeight="251659264" behindDoc="1" locked="0" layoutInCell="1" allowOverlap="1" wp14:anchorId="29D5480B" wp14:editId="1DE1908C">
            <wp:simplePos x="0" y="0"/>
            <wp:positionH relativeFrom="page">
              <wp:posOffset>6724650</wp:posOffset>
            </wp:positionH>
            <wp:positionV relativeFrom="paragraph">
              <wp:posOffset>0</wp:posOffset>
            </wp:positionV>
            <wp:extent cx="572770" cy="637540"/>
            <wp:effectExtent l="0" t="0" r="0" b="0"/>
            <wp:wrapTight wrapText="bothSides">
              <wp:wrapPolygon edited="0">
                <wp:start x="0" y="0"/>
                <wp:lineTo x="0" y="20653"/>
                <wp:lineTo x="20834" y="20653"/>
                <wp:lineTo x="20834" y="0"/>
                <wp:lineTo x="0" y="0"/>
              </wp:wrapPolygon>
            </wp:wrapTight>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 cy="6375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061CC" w:rsidRPr="00C061CC">
        <w:rPr>
          <w:rFonts w:ascii="Twinkl" w:hAnsi="Twinkl"/>
          <w:b/>
          <w:bCs/>
          <w:sz w:val="32"/>
          <w:szCs w:val="32"/>
        </w:rPr>
        <w:t>Gilthill</w:t>
      </w:r>
      <w:proofErr w:type="spellEnd"/>
      <w:r w:rsidR="00C061CC" w:rsidRPr="00C061CC">
        <w:rPr>
          <w:rFonts w:ascii="Twinkl" w:hAnsi="Twinkl"/>
          <w:b/>
          <w:bCs/>
          <w:sz w:val="32"/>
          <w:szCs w:val="32"/>
        </w:rPr>
        <w:t xml:space="preserve"> Oracy Policy</w:t>
      </w:r>
    </w:p>
    <w:p w14:paraId="55A6CCAF" w14:textId="77777777" w:rsidR="0055317E" w:rsidRDefault="0055317E">
      <w:pPr>
        <w:rPr>
          <w:rFonts w:ascii="Twinkl" w:hAnsi="Twinkl"/>
          <w:sz w:val="32"/>
          <w:szCs w:val="32"/>
        </w:rPr>
      </w:pPr>
    </w:p>
    <w:p w14:paraId="6F0ED63A" w14:textId="5FA84689" w:rsidR="00C061CC" w:rsidRDefault="00C061CC">
      <w:pPr>
        <w:rPr>
          <w:rFonts w:ascii="Twinkl" w:hAnsi="Twinkl"/>
          <w:sz w:val="24"/>
          <w:szCs w:val="24"/>
        </w:rPr>
      </w:pPr>
      <w:proofErr w:type="gramStart"/>
      <w:r w:rsidRPr="00C061CC">
        <w:rPr>
          <w:rFonts w:ascii="Twinkl" w:hAnsi="Twinkl"/>
          <w:sz w:val="32"/>
          <w:szCs w:val="32"/>
        </w:rPr>
        <w:t>Vision</w:t>
      </w:r>
      <w:r>
        <w:rPr>
          <w:rFonts w:ascii="Twinkl" w:hAnsi="Twinkl"/>
          <w:sz w:val="32"/>
          <w:szCs w:val="32"/>
        </w:rPr>
        <w:t>:-</w:t>
      </w:r>
      <w:proofErr w:type="gramEnd"/>
      <w:r>
        <w:rPr>
          <w:rFonts w:ascii="Twinkl" w:hAnsi="Twinkl"/>
          <w:sz w:val="32"/>
          <w:szCs w:val="32"/>
        </w:rPr>
        <w:t xml:space="preserve"> </w:t>
      </w:r>
      <w:r w:rsidRPr="00C061CC">
        <w:rPr>
          <w:rFonts w:ascii="Twinkl" w:hAnsi="Twinkl"/>
          <w:sz w:val="24"/>
          <w:szCs w:val="24"/>
        </w:rPr>
        <w:t>Children use their voice to speak clearly, confidently and respectfully. We build a community where every voice is valued and listened to.</w:t>
      </w:r>
    </w:p>
    <w:p w14:paraId="3B1D5D42" w14:textId="77777777" w:rsidR="00356491" w:rsidRDefault="00356491">
      <w:pPr>
        <w:rPr>
          <w:rFonts w:ascii="Twinkl" w:hAnsi="Twinkl"/>
          <w:sz w:val="24"/>
          <w:szCs w:val="24"/>
        </w:rPr>
      </w:pPr>
    </w:p>
    <w:p w14:paraId="4E2DE659" w14:textId="0C8AC2C5" w:rsidR="00356491" w:rsidRPr="00356491" w:rsidRDefault="00356491">
      <w:pPr>
        <w:rPr>
          <w:rFonts w:ascii="Twinkl" w:hAnsi="Twinkl"/>
          <w:b/>
          <w:bCs/>
          <w:sz w:val="32"/>
          <w:szCs w:val="32"/>
        </w:rPr>
      </w:pPr>
      <w:r w:rsidRPr="00356491">
        <w:rPr>
          <w:rFonts w:ascii="Twinkl" w:hAnsi="Twinkl"/>
          <w:b/>
          <w:bCs/>
          <w:sz w:val="32"/>
          <w:szCs w:val="32"/>
        </w:rPr>
        <w:t>Intent</w:t>
      </w:r>
    </w:p>
    <w:p w14:paraId="340811AB" w14:textId="708F8D55" w:rsidR="00C061CC" w:rsidRDefault="00C061CC">
      <w:pPr>
        <w:rPr>
          <w:rFonts w:ascii="Twinkl" w:hAnsi="Twinkl"/>
          <w:sz w:val="24"/>
          <w:szCs w:val="24"/>
        </w:rPr>
      </w:pPr>
      <w:r>
        <w:rPr>
          <w:rFonts w:ascii="Twinkl" w:hAnsi="Twinkl"/>
          <w:sz w:val="24"/>
          <w:szCs w:val="24"/>
        </w:rPr>
        <w:t xml:space="preserve">Oracy plays a key role in teaching and learning at </w:t>
      </w:r>
      <w:proofErr w:type="spellStart"/>
      <w:r>
        <w:rPr>
          <w:rFonts w:ascii="Twinkl" w:hAnsi="Twinkl"/>
          <w:sz w:val="24"/>
          <w:szCs w:val="24"/>
        </w:rPr>
        <w:t>Gilthill</w:t>
      </w:r>
      <w:proofErr w:type="spellEnd"/>
      <w:r>
        <w:rPr>
          <w:rFonts w:ascii="Twinkl" w:hAnsi="Twinkl"/>
          <w:sz w:val="24"/>
          <w:szCs w:val="24"/>
        </w:rPr>
        <w:t>. Children will be taught to talk and through talk to enable them to discuss, perform, debate and express themselves in a range of contexts and for a range of purposes. The children develop the confidence and skills to listen and talk effectively by valuing different views and engaging in meaningful conversations.</w:t>
      </w:r>
    </w:p>
    <w:p w14:paraId="1543E530" w14:textId="38BD184F" w:rsidR="00C061CC" w:rsidRDefault="00C061CC">
      <w:pPr>
        <w:rPr>
          <w:rFonts w:ascii="Twinkl" w:hAnsi="Twinkl"/>
          <w:sz w:val="24"/>
          <w:szCs w:val="24"/>
        </w:rPr>
      </w:pPr>
      <w:r>
        <w:rPr>
          <w:rFonts w:ascii="Twinkl" w:hAnsi="Twinkl"/>
          <w:sz w:val="24"/>
          <w:szCs w:val="24"/>
        </w:rPr>
        <w:t xml:space="preserve">As part of our school </w:t>
      </w:r>
      <w:proofErr w:type="gramStart"/>
      <w:r>
        <w:rPr>
          <w:rFonts w:ascii="Twinkl" w:hAnsi="Twinkl"/>
          <w:sz w:val="24"/>
          <w:szCs w:val="24"/>
        </w:rPr>
        <w:t>community</w:t>
      </w:r>
      <w:proofErr w:type="gramEnd"/>
      <w:r>
        <w:rPr>
          <w:rFonts w:ascii="Twinkl" w:hAnsi="Twinkl"/>
          <w:sz w:val="24"/>
          <w:szCs w:val="24"/>
        </w:rPr>
        <w:t xml:space="preserve"> we promote all forms of communication</w:t>
      </w:r>
      <w:r w:rsidR="00F517D5">
        <w:rPr>
          <w:rFonts w:ascii="Twinkl" w:hAnsi="Twinkl"/>
          <w:sz w:val="24"/>
          <w:szCs w:val="24"/>
        </w:rPr>
        <w:t xml:space="preserve"> and use many opportunities to encourage children to interact and learn through talk. Oracy is embedded across the curriculum and used to unlock new learning and challenge thinking.</w:t>
      </w:r>
    </w:p>
    <w:p w14:paraId="290AEE9B" w14:textId="76E45D37" w:rsidR="00F517D5" w:rsidRDefault="00F517D5">
      <w:pPr>
        <w:rPr>
          <w:rFonts w:ascii="Twinkl" w:hAnsi="Twinkl"/>
          <w:sz w:val="24"/>
          <w:szCs w:val="24"/>
        </w:rPr>
      </w:pPr>
      <w:r>
        <w:rPr>
          <w:rFonts w:ascii="Twinkl" w:hAnsi="Twinkl"/>
          <w:sz w:val="24"/>
          <w:szCs w:val="24"/>
        </w:rPr>
        <w:t>We recognise that oracy in the classroom should be seen as a valuable activity and as such it plays an important role in collaborative learning activities starting with the early years as our children begin their school journey.</w:t>
      </w:r>
    </w:p>
    <w:p w14:paraId="6B40A710" w14:textId="682C3706" w:rsidR="00F517D5" w:rsidRDefault="00F517D5">
      <w:pPr>
        <w:rPr>
          <w:rFonts w:ascii="Twinkl" w:hAnsi="Twinkl"/>
          <w:sz w:val="24"/>
          <w:szCs w:val="24"/>
        </w:rPr>
      </w:pPr>
      <w:r>
        <w:rPr>
          <w:rFonts w:ascii="Twinkl" w:hAnsi="Twinkl"/>
          <w:sz w:val="24"/>
          <w:szCs w:val="24"/>
        </w:rPr>
        <w:t>Many students enter school without the oracy skills expected for their age. We want to develop spoken language through the taught curriculum as well as playtimes, lunchtimes and extra-curricular activities.</w:t>
      </w:r>
    </w:p>
    <w:p w14:paraId="73C16AC2" w14:textId="77777777" w:rsidR="00F517D5" w:rsidRDefault="00F517D5">
      <w:pPr>
        <w:rPr>
          <w:rFonts w:ascii="Twinkl" w:hAnsi="Twinkl"/>
          <w:sz w:val="24"/>
          <w:szCs w:val="24"/>
        </w:rPr>
      </w:pPr>
    </w:p>
    <w:p w14:paraId="7BE383C3" w14:textId="22C1A4F6" w:rsidR="00F517D5" w:rsidRDefault="00F517D5">
      <w:pPr>
        <w:rPr>
          <w:rFonts w:ascii="Twinkl" w:hAnsi="Twinkl"/>
          <w:b/>
          <w:bCs/>
          <w:sz w:val="32"/>
          <w:szCs w:val="32"/>
        </w:rPr>
      </w:pPr>
      <w:r w:rsidRPr="00F517D5">
        <w:rPr>
          <w:rFonts w:ascii="Twinkl" w:hAnsi="Twinkl"/>
          <w:b/>
          <w:bCs/>
          <w:sz w:val="32"/>
          <w:szCs w:val="32"/>
        </w:rPr>
        <w:t>Aims</w:t>
      </w:r>
    </w:p>
    <w:p w14:paraId="47F344E3" w14:textId="2D087049" w:rsidR="00F517D5" w:rsidRPr="00F517D5" w:rsidRDefault="00F517D5" w:rsidP="00F517D5">
      <w:pPr>
        <w:pStyle w:val="ListParagraph"/>
        <w:numPr>
          <w:ilvl w:val="0"/>
          <w:numId w:val="1"/>
        </w:numPr>
        <w:rPr>
          <w:rFonts w:ascii="Twinkl" w:hAnsi="Twinkl"/>
          <w:sz w:val="32"/>
          <w:szCs w:val="32"/>
        </w:rPr>
      </w:pPr>
      <w:r w:rsidRPr="00F517D5">
        <w:rPr>
          <w:rFonts w:ascii="Twinkl" w:hAnsi="Twinkl"/>
          <w:sz w:val="24"/>
          <w:szCs w:val="24"/>
        </w:rPr>
        <w:t>Children to speak clearly, with confidence and fluency</w:t>
      </w:r>
    </w:p>
    <w:p w14:paraId="60956C83" w14:textId="4AD373A5" w:rsidR="00F517D5" w:rsidRPr="00F517D5" w:rsidRDefault="00F517D5" w:rsidP="00F517D5">
      <w:pPr>
        <w:pStyle w:val="ListParagraph"/>
        <w:numPr>
          <w:ilvl w:val="0"/>
          <w:numId w:val="1"/>
        </w:numPr>
        <w:rPr>
          <w:rFonts w:ascii="Twinkl" w:hAnsi="Twinkl"/>
          <w:sz w:val="32"/>
          <w:szCs w:val="32"/>
        </w:rPr>
      </w:pPr>
      <w:r>
        <w:rPr>
          <w:rFonts w:ascii="Twinkl" w:hAnsi="Twinkl"/>
          <w:sz w:val="24"/>
          <w:szCs w:val="24"/>
        </w:rPr>
        <w:t>Oracy to be at the heart of all teaching and learning activities</w:t>
      </w:r>
    </w:p>
    <w:p w14:paraId="20923287" w14:textId="48DC8066" w:rsidR="00F517D5" w:rsidRPr="00356491" w:rsidRDefault="00356491" w:rsidP="00F517D5">
      <w:pPr>
        <w:pStyle w:val="ListParagraph"/>
        <w:numPr>
          <w:ilvl w:val="0"/>
          <w:numId w:val="1"/>
        </w:numPr>
        <w:rPr>
          <w:rFonts w:ascii="Twinkl" w:hAnsi="Twinkl"/>
          <w:sz w:val="32"/>
          <w:szCs w:val="32"/>
        </w:rPr>
      </w:pPr>
      <w:r>
        <w:rPr>
          <w:rFonts w:ascii="Twinkl" w:hAnsi="Twinkl"/>
          <w:sz w:val="24"/>
          <w:szCs w:val="24"/>
        </w:rPr>
        <w:t>Encourage respectful and productive relationships</w:t>
      </w:r>
    </w:p>
    <w:p w14:paraId="1FC3ABFF" w14:textId="04C9C646" w:rsidR="00356491" w:rsidRPr="00356491" w:rsidRDefault="00356491" w:rsidP="00F517D5">
      <w:pPr>
        <w:pStyle w:val="ListParagraph"/>
        <w:numPr>
          <w:ilvl w:val="0"/>
          <w:numId w:val="1"/>
        </w:numPr>
        <w:rPr>
          <w:rFonts w:ascii="Twinkl" w:hAnsi="Twinkl"/>
          <w:sz w:val="32"/>
          <w:szCs w:val="32"/>
        </w:rPr>
      </w:pPr>
      <w:r>
        <w:rPr>
          <w:rFonts w:ascii="Twinkl" w:hAnsi="Twinkl"/>
          <w:sz w:val="24"/>
          <w:szCs w:val="24"/>
        </w:rPr>
        <w:t>Standards of oracy will improve as children progress through the school</w:t>
      </w:r>
    </w:p>
    <w:p w14:paraId="54C43991" w14:textId="4A1C513D" w:rsidR="00356491" w:rsidRPr="00356491" w:rsidRDefault="00356491" w:rsidP="00F517D5">
      <w:pPr>
        <w:pStyle w:val="ListParagraph"/>
        <w:numPr>
          <w:ilvl w:val="0"/>
          <w:numId w:val="1"/>
        </w:numPr>
        <w:rPr>
          <w:rFonts w:ascii="Twinkl" w:hAnsi="Twinkl"/>
          <w:sz w:val="32"/>
          <w:szCs w:val="32"/>
        </w:rPr>
      </w:pPr>
      <w:r>
        <w:rPr>
          <w:rFonts w:ascii="Twinkl" w:hAnsi="Twinkl"/>
          <w:sz w:val="24"/>
          <w:szCs w:val="24"/>
        </w:rPr>
        <w:t>Communication skills will enhance student engagement in learning achieving improved outcomes academically</w:t>
      </w:r>
    </w:p>
    <w:p w14:paraId="7E773675" w14:textId="3A09A02C" w:rsidR="00356491" w:rsidRDefault="00356491" w:rsidP="00F517D5">
      <w:pPr>
        <w:pStyle w:val="ListParagraph"/>
        <w:numPr>
          <w:ilvl w:val="0"/>
          <w:numId w:val="1"/>
        </w:numPr>
        <w:rPr>
          <w:rFonts w:ascii="Twinkl" w:hAnsi="Twinkl"/>
          <w:sz w:val="24"/>
          <w:szCs w:val="24"/>
        </w:rPr>
      </w:pPr>
      <w:r w:rsidRPr="00356491">
        <w:rPr>
          <w:rFonts w:ascii="Twinkl" w:hAnsi="Twinkl"/>
          <w:sz w:val="24"/>
          <w:szCs w:val="24"/>
        </w:rPr>
        <w:t xml:space="preserve">Promote </w:t>
      </w:r>
      <w:r>
        <w:rPr>
          <w:rFonts w:ascii="Twinkl" w:hAnsi="Twinkl"/>
          <w:sz w:val="24"/>
          <w:szCs w:val="24"/>
        </w:rPr>
        <w:t xml:space="preserve">social equity by ensuring that all students </w:t>
      </w:r>
      <w:proofErr w:type="gramStart"/>
      <w:r>
        <w:rPr>
          <w:rFonts w:ascii="Twinkl" w:hAnsi="Twinkl"/>
          <w:sz w:val="24"/>
          <w:szCs w:val="24"/>
        </w:rPr>
        <w:t>have the opportunity to</w:t>
      </w:r>
      <w:proofErr w:type="gramEnd"/>
      <w:r>
        <w:rPr>
          <w:rFonts w:ascii="Twinkl" w:hAnsi="Twinkl"/>
          <w:sz w:val="24"/>
          <w:szCs w:val="24"/>
        </w:rPr>
        <w:t xml:space="preserve"> develop their voice and be heard</w:t>
      </w:r>
    </w:p>
    <w:p w14:paraId="61ED4F19" w14:textId="77777777" w:rsidR="00356491" w:rsidRDefault="00356491" w:rsidP="00356491">
      <w:pPr>
        <w:rPr>
          <w:rFonts w:ascii="Twinkl" w:hAnsi="Twinkl"/>
          <w:sz w:val="24"/>
          <w:szCs w:val="24"/>
        </w:rPr>
      </w:pPr>
    </w:p>
    <w:p w14:paraId="65949016" w14:textId="3D7302BE" w:rsidR="00356491" w:rsidRDefault="00356491" w:rsidP="00356491">
      <w:pPr>
        <w:rPr>
          <w:rFonts w:ascii="Twinkl" w:hAnsi="Twinkl"/>
          <w:b/>
          <w:bCs/>
          <w:sz w:val="32"/>
          <w:szCs w:val="32"/>
        </w:rPr>
      </w:pPr>
      <w:r>
        <w:rPr>
          <w:rFonts w:ascii="Twinkl" w:hAnsi="Twinkl"/>
          <w:b/>
          <w:bCs/>
          <w:sz w:val="32"/>
          <w:szCs w:val="32"/>
        </w:rPr>
        <w:t>Implementation</w:t>
      </w:r>
    </w:p>
    <w:p w14:paraId="42D8384D" w14:textId="37C5C681" w:rsidR="00356491" w:rsidRDefault="00356491" w:rsidP="00356491">
      <w:pPr>
        <w:rPr>
          <w:rFonts w:ascii="Twinkl" w:hAnsi="Twinkl"/>
          <w:sz w:val="24"/>
          <w:szCs w:val="24"/>
        </w:rPr>
      </w:pPr>
      <w:r>
        <w:rPr>
          <w:rFonts w:ascii="Twinkl" w:hAnsi="Twinkl"/>
          <w:sz w:val="24"/>
          <w:szCs w:val="24"/>
        </w:rPr>
        <w:t>The oracy framework – the purpose of talk.</w:t>
      </w:r>
    </w:p>
    <w:p w14:paraId="25E49E11" w14:textId="07C2B98F" w:rsidR="001044C0" w:rsidRDefault="001044C0" w:rsidP="00356491">
      <w:pPr>
        <w:rPr>
          <w:rFonts w:ascii="Twinkl" w:hAnsi="Twinkl"/>
          <w:sz w:val="24"/>
          <w:szCs w:val="24"/>
        </w:rPr>
      </w:pPr>
      <w:r w:rsidRPr="001044C0">
        <w:rPr>
          <w:rFonts w:ascii="Twinkl" w:hAnsi="Twinkl"/>
          <w:sz w:val="24"/>
          <w:szCs w:val="24"/>
        </w:rPr>
        <w:t>Oracy is central to all learning and by using the Oracy Framework (provided by Voice 21), we can address the four key strands which enable successful discussion, inspiring speech and effective communication.</w:t>
      </w:r>
    </w:p>
    <w:p w14:paraId="59BB010C" w14:textId="77777777" w:rsidR="001044C0" w:rsidRDefault="001044C0" w:rsidP="00356491">
      <w:pPr>
        <w:rPr>
          <w:rFonts w:ascii="Twinkl" w:hAnsi="Twinkl"/>
          <w:sz w:val="24"/>
          <w:szCs w:val="24"/>
        </w:rPr>
      </w:pPr>
    </w:p>
    <w:p w14:paraId="5F7043A1" w14:textId="77777777" w:rsidR="001044C0" w:rsidRDefault="001044C0" w:rsidP="00356491">
      <w:pPr>
        <w:rPr>
          <w:rFonts w:ascii="Twinkl" w:hAnsi="Twinkl"/>
          <w:sz w:val="24"/>
          <w:szCs w:val="24"/>
        </w:rPr>
      </w:pPr>
    </w:p>
    <w:p w14:paraId="06FD31ED" w14:textId="70DF52D3" w:rsidR="001044C0" w:rsidRDefault="001044C0" w:rsidP="00356491">
      <w:pPr>
        <w:rPr>
          <w:rFonts w:ascii="Twinkl" w:hAnsi="Twinkl"/>
          <w:sz w:val="24"/>
          <w:szCs w:val="24"/>
        </w:rPr>
      </w:pPr>
      <w:r w:rsidRPr="001044C0">
        <w:rPr>
          <w:rFonts w:ascii="Twinkl" w:hAnsi="Twinkl"/>
          <w:noProof/>
          <w:sz w:val="24"/>
          <w:szCs w:val="24"/>
        </w:rPr>
        <w:lastRenderedPageBreak/>
        <w:drawing>
          <wp:inline distT="0" distB="0" distL="0" distR="0" wp14:anchorId="101F3C41" wp14:editId="0427761B">
            <wp:extent cx="6645910" cy="3159125"/>
            <wp:effectExtent l="0" t="0" r="2540" b="3175"/>
            <wp:docPr id="162347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70141" name=""/>
                    <pic:cNvPicPr/>
                  </pic:nvPicPr>
                  <pic:blipFill>
                    <a:blip r:embed="rId9"/>
                    <a:stretch>
                      <a:fillRect/>
                    </a:stretch>
                  </pic:blipFill>
                  <pic:spPr>
                    <a:xfrm>
                      <a:off x="0" y="0"/>
                      <a:ext cx="6645910" cy="3159125"/>
                    </a:xfrm>
                    <a:prstGeom prst="rect">
                      <a:avLst/>
                    </a:prstGeom>
                  </pic:spPr>
                </pic:pic>
              </a:graphicData>
            </a:graphic>
          </wp:inline>
        </w:drawing>
      </w:r>
    </w:p>
    <w:p w14:paraId="476A3629" w14:textId="77777777" w:rsidR="001044C0" w:rsidRDefault="001044C0" w:rsidP="00356491">
      <w:pPr>
        <w:rPr>
          <w:rFonts w:ascii="Twinkl" w:hAnsi="Twinkl"/>
          <w:sz w:val="24"/>
          <w:szCs w:val="24"/>
        </w:rPr>
      </w:pPr>
    </w:p>
    <w:p w14:paraId="066AC7FA" w14:textId="3FC8DBF2" w:rsidR="001044C0" w:rsidRDefault="001044C0" w:rsidP="00356491">
      <w:pPr>
        <w:rPr>
          <w:rFonts w:ascii="Twinkl" w:hAnsi="Twinkl"/>
          <w:sz w:val="24"/>
          <w:szCs w:val="24"/>
        </w:rPr>
      </w:pPr>
      <w:r>
        <w:rPr>
          <w:rFonts w:ascii="Twinkl" w:hAnsi="Twinkl"/>
          <w:sz w:val="24"/>
          <w:szCs w:val="24"/>
        </w:rPr>
        <w:t>Different groupings.</w:t>
      </w:r>
    </w:p>
    <w:p w14:paraId="078D327D" w14:textId="4EFCD866" w:rsidR="001044C0" w:rsidRDefault="001044C0" w:rsidP="00356491">
      <w:pPr>
        <w:rPr>
          <w:rFonts w:ascii="Twinkl" w:hAnsi="Twinkl"/>
          <w:sz w:val="24"/>
          <w:szCs w:val="24"/>
        </w:rPr>
      </w:pPr>
      <w:r w:rsidRPr="001044C0">
        <w:rPr>
          <w:rFonts w:ascii="Twinkl" w:hAnsi="Twinkl"/>
          <w:sz w:val="24"/>
          <w:szCs w:val="24"/>
        </w:rPr>
        <w:t xml:space="preserve">When carefully planned and executed, discussion is a powerful tool for learning. During a discussion, students are actively involved in the development of their own knowledge and must constantly re-evaluate their position in relation to others. At </w:t>
      </w:r>
      <w:proofErr w:type="spellStart"/>
      <w:r>
        <w:rPr>
          <w:rFonts w:ascii="Twinkl" w:hAnsi="Twinkl"/>
          <w:sz w:val="24"/>
          <w:szCs w:val="24"/>
        </w:rPr>
        <w:t>Gilthill</w:t>
      </w:r>
      <w:proofErr w:type="spellEnd"/>
      <w:r>
        <w:rPr>
          <w:rFonts w:ascii="Twinkl" w:hAnsi="Twinkl"/>
          <w:sz w:val="24"/>
          <w:szCs w:val="24"/>
        </w:rPr>
        <w:t>,</w:t>
      </w:r>
      <w:r w:rsidRPr="001044C0">
        <w:rPr>
          <w:rFonts w:ascii="Twinkl" w:hAnsi="Twinkl"/>
          <w:sz w:val="24"/>
          <w:szCs w:val="24"/>
        </w:rPr>
        <w:t xml:space="preserve"> we ensure that opportunities for talk are regular, purposeful, appropriately pitched and thoroughly planned to ensure that children are well prepared to meet expectations. Through using a variety of group protocols, we ensure that everyone in the group has the chance to have their say.</w:t>
      </w:r>
    </w:p>
    <w:p w14:paraId="7962B582" w14:textId="1B4E499B" w:rsidR="001044C0" w:rsidRDefault="001044C0" w:rsidP="00356491">
      <w:pPr>
        <w:rPr>
          <w:rFonts w:ascii="Twinkl" w:hAnsi="Twinkl"/>
          <w:sz w:val="24"/>
          <w:szCs w:val="24"/>
        </w:rPr>
      </w:pPr>
      <w:r w:rsidRPr="001044C0">
        <w:rPr>
          <w:rFonts w:ascii="Twinkl" w:hAnsi="Twinkl"/>
          <w:noProof/>
          <w:sz w:val="24"/>
          <w:szCs w:val="24"/>
        </w:rPr>
        <w:drawing>
          <wp:inline distT="0" distB="0" distL="0" distR="0" wp14:anchorId="256A72A3" wp14:editId="3C367EE2">
            <wp:extent cx="5276850" cy="3926063"/>
            <wp:effectExtent l="0" t="0" r="0" b="0"/>
            <wp:docPr id="490619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19450" name=""/>
                    <pic:cNvPicPr/>
                  </pic:nvPicPr>
                  <pic:blipFill>
                    <a:blip r:embed="rId10"/>
                    <a:stretch>
                      <a:fillRect/>
                    </a:stretch>
                  </pic:blipFill>
                  <pic:spPr>
                    <a:xfrm>
                      <a:off x="0" y="0"/>
                      <a:ext cx="5283298" cy="3930861"/>
                    </a:xfrm>
                    <a:prstGeom prst="rect">
                      <a:avLst/>
                    </a:prstGeom>
                  </pic:spPr>
                </pic:pic>
              </a:graphicData>
            </a:graphic>
          </wp:inline>
        </w:drawing>
      </w:r>
    </w:p>
    <w:p w14:paraId="5DB3555E" w14:textId="77777777" w:rsidR="007C5ECE" w:rsidRDefault="007C5ECE" w:rsidP="00356491">
      <w:pPr>
        <w:rPr>
          <w:rFonts w:ascii="Twinkl" w:hAnsi="Twinkl"/>
          <w:sz w:val="24"/>
          <w:szCs w:val="24"/>
        </w:rPr>
      </w:pPr>
    </w:p>
    <w:p w14:paraId="3C00E132" w14:textId="52A6A275" w:rsidR="001044C0" w:rsidRDefault="001044C0" w:rsidP="00356491">
      <w:pPr>
        <w:rPr>
          <w:rFonts w:ascii="Twinkl" w:hAnsi="Twinkl"/>
          <w:sz w:val="24"/>
          <w:szCs w:val="24"/>
        </w:rPr>
      </w:pPr>
      <w:r>
        <w:rPr>
          <w:rFonts w:ascii="Twinkl" w:hAnsi="Twinkl"/>
          <w:sz w:val="24"/>
          <w:szCs w:val="24"/>
        </w:rPr>
        <w:t>Use of talk tactics to scaffold talk.</w:t>
      </w:r>
    </w:p>
    <w:p w14:paraId="7055EE83" w14:textId="0F9705AB" w:rsidR="001044C0" w:rsidRDefault="001044C0" w:rsidP="00356491">
      <w:pPr>
        <w:rPr>
          <w:rFonts w:ascii="Twinkl" w:hAnsi="Twinkl"/>
          <w:sz w:val="24"/>
          <w:szCs w:val="24"/>
        </w:rPr>
      </w:pPr>
      <w:r w:rsidRPr="001044C0">
        <w:rPr>
          <w:rFonts w:ascii="Twinkl" w:hAnsi="Twinkl"/>
          <w:sz w:val="24"/>
          <w:szCs w:val="24"/>
        </w:rPr>
        <w:lastRenderedPageBreak/>
        <w:t xml:space="preserve">We establish and model ambitious and challenging norms for talk, ensuring that children understand the expectations for talk within our classrooms. Talk Tactics are used in lessons to encourage pupils to think strategically about their contributions to group talk. Providing pupils with roles to play in discussions helps to manage talk and encourages the development of certain speaking and listening skills. This is further supported </w:t>
      </w:r>
      <w:proofErr w:type="gramStart"/>
      <w:r w:rsidRPr="001044C0">
        <w:rPr>
          <w:rFonts w:ascii="Twinkl" w:hAnsi="Twinkl"/>
          <w:sz w:val="24"/>
          <w:szCs w:val="24"/>
        </w:rPr>
        <w:t>by the use of</w:t>
      </w:r>
      <w:proofErr w:type="gramEnd"/>
      <w:r w:rsidRPr="001044C0">
        <w:rPr>
          <w:rFonts w:ascii="Twinkl" w:hAnsi="Twinkl"/>
          <w:sz w:val="24"/>
          <w:szCs w:val="24"/>
        </w:rPr>
        <w:t xml:space="preserve"> sentence stems and key vocabulary in lessons.</w:t>
      </w:r>
    </w:p>
    <w:p w14:paraId="4A7A796A" w14:textId="2CFC0F79" w:rsidR="001044C0" w:rsidRDefault="001044C0" w:rsidP="00356491">
      <w:pPr>
        <w:rPr>
          <w:rFonts w:ascii="Twinkl" w:hAnsi="Twinkl"/>
          <w:sz w:val="24"/>
          <w:szCs w:val="24"/>
        </w:rPr>
      </w:pPr>
      <w:r w:rsidRPr="001044C0">
        <w:rPr>
          <w:rFonts w:ascii="Twinkl" w:hAnsi="Twinkl"/>
          <w:noProof/>
          <w:sz w:val="24"/>
          <w:szCs w:val="24"/>
        </w:rPr>
        <w:drawing>
          <wp:inline distT="0" distB="0" distL="0" distR="0" wp14:anchorId="5CEA5505" wp14:editId="24CC8645">
            <wp:extent cx="6305874" cy="4540483"/>
            <wp:effectExtent l="0" t="0" r="0" b="0"/>
            <wp:docPr id="8751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784" name=""/>
                    <pic:cNvPicPr/>
                  </pic:nvPicPr>
                  <pic:blipFill>
                    <a:blip r:embed="rId11"/>
                    <a:stretch>
                      <a:fillRect/>
                    </a:stretch>
                  </pic:blipFill>
                  <pic:spPr>
                    <a:xfrm>
                      <a:off x="0" y="0"/>
                      <a:ext cx="6305874" cy="4540483"/>
                    </a:xfrm>
                    <a:prstGeom prst="rect">
                      <a:avLst/>
                    </a:prstGeom>
                  </pic:spPr>
                </pic:pic>
              </a:graphicData>
            </a:graphic>
          </wp:inline>
        </w:drawing>
      </w:r>
    </w:p>
    <w:p w14:paraId="3F5404D9" w14:textId="77777777" w:rsidR="00F70B23" w:rsidRDefault="00F70B23" w:rsidP="00356491">
      <w:pPr>
        <w:rPr>
          <w:rFonts w:ascii="Twinkl" w:hAnsi="Twinkl"/>
          <w:sz w:val="24"/>
          <w:szCs w:val="24"/>
        </w:rPr>
      </w:pPr>
    </w:p>
    <w:p w14:paraId="40E8FFD5" w14:textId="02F30002" w:rsidR="001044C0" w:rsidRDefault="001044C0" w:rsidP="00356491">
      <w:pPr>
        <w:rPr>
          <w:rFonts w:ascii="Twinkl" w:hAnsi="Twinkl"/>
          <w:sz w:val="24"/>
          <w:szCs w:val="24"/>
        </w:rPr>
      </w:pPr>
      <w:r>
        <w:rPr>
          <w:rFonts w:ascii="Twinkl" w:hAnsi="Twinkl"/>
          <w:sz w:val="24"/>
          <w:szCs w:val="24"/>
        </w:rPr>
        <w:t>Springboards for talk.</w:t>
      </w:r>
    </w:p>
    <w:p w14:paraId="7EDBCFAC" w14:textId="7644326C" w:rsidR="001044C0" w:rsidRDefault="001044C0" w:rsidP="00356491">
      <w:pPr>
        <w:rPr>
          <w:rFonts w:ascii="Twinkl" w:hAnsi="Twinkl"/>
          <w:sz w:val="24"/>
          <w:szCs w:val="24"/>
        </w:rPr>
      </w:pPr>
      <w:r>
        <w:rPr>
          <w:rFonts w:ascii="Twinkl" w:hAnsi="Twinkl"/>
          <w:sz w:val="24"/>
          <w:szCs w:val="24"/>
        </w:rPr>
        <w:t>Springboard activities support children to learn to talk and through talk.</w:t>
      </w:r>
    </w:p>
    <w:p w14:paraId="2EC80BE8" w14:textId="091C9920" w:rsidR="00DD4D3A" w:rsidRDefault="00DD4D3A" w:rsidP="00356491">
      <w:pPr>
        <w:rPr>
          <w:rFonts w:ascii="Twinkl" w:hAnsi="Twinkl"/>
          <w:sz w:val="24"/>
          <w:szCs w:val="24"/>
        </w:rPr>
      </w:pPr>
      <w:r w:rsidRPr="00DD4D3A">
        <w:rPr>
          <w:rFonts w:ascii="Twinkl" w:hAnsi="Twinkl"/>
          <w:noProof/>
          <w:sz w:val="24"/>
          <w:szCs w:val="24"/>
        </w:rPr>
        <w:drawing>
          <wp:inline distT="0" distB="0" distL="0" distR="0" wp14:anchorId="425EC819" wp14:editId="3CF07E56">
            <wp:extent cx="2698750" cy="1979647"/>
            <wp:effectExtent l="0" t="0" r="6350" b="1905"/>
            <wp:docPr id="203800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02364" name=""/>
                    <pic:cNvPicPr/>
                  </pic:nvPicPr>
                  <pic:blipFill>
                    <a:blip r:embed="rId12"/>
                    <a:stretch>
                      <a:fillRect/>
                    </a:stretch>
                  </pic:blipFill>
                  <pic:spPr>
                    <a:xfrm>
                      <a:off x="0" y="0"/>
                      <a:ext cx="2709659" cy="1987649"/>
                    </a:xfrm>
                    <a:prstGeom prst="rect">
                      <a:avLst/>
                    </a:prstGeom>
                  </pic:spPr>
                </pic:pic>
              </a:graphicData>
            </a:graphic>
          </wp:inline>
        </w:drawing>
      </w:r>
      <w:r>
        <w:rPr>
          <w:rFonts w:ascii="Twinkl" w:hAnsi="Twinkl"/>
          <w:sz w:val="24"/>
          <w:szCs w:val="24"/>
        </w:rPr>
        <w:t xml:space="preserve">        </w:t>
      </w:r>
      <w:r w:rsidRPr="00DD4D3A">
        <w:rPr>
          <w:rFonts w:ascii="Twinkl" w:hAnsi="Twinkl"/>
          <w:noProof/>
          <w:sz w:val="24"/>
          <w:szCs w:val="24"/>
        </w:rPr>
        <w:drawing>
          <wp:inline distT="0" distB="0" distL="0" distR="0" wp14:anchorId="1C438D6E" wp14:editId="110F4B25">
            <wp:extent cx="2679700" cy="1979521"/>
            <wp:effectExtent l="0" t="0" r="6350" b="1905"/>
            <wp:docPr id="135473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36839" name=""/>
                    <pic:cNvPicPr/>
                  </pic:nvPicPr>
                  <pic:blipFill>
                    <a:blip r:embed="rId13"/>
                    <a:stretch>
                      <a:fillRect/>
                    </a:stretch>
                  </pic:blipFill>
                  <pic:spPr>
                    <a:xfrm>
                      <a:off x="0" y="0"/>
                      <a:ext cx="2700424" cy="1994830"/>
                    </a:xfrm>
                    <a:prstGeom prst="rect">
                      <a:avLst/>
                    </a:prstGeom>
                  </pic:spPr>
                </pic:pic>
              </a:graphicData>
            </a:graphic>
          </wp:inline>
        </w:drawing>
      </w:r>
    </w:p>
    <w:p w14:paraId="4D22D27D" w14:textId="543F301A" w:rsidR="00DD4D3A" w:rsidRDefault="00DD4D3A" w:rsidP="00356491">
      <w:pPr>
        <w:rPr>
          <w:rFonts w:ascii="Twinkl" w:hAnsi="Twinkl"/>
          <w:sz w:val="24"/>
          <w:szCs w:val="24"/>
        </w:rPr>
      </w:pPr>
      <w:r w:rsidRPr="00DD4D3A">
        <w:rPr>
          <w:rFonts w:ascii="Twinkl" w:hAnsi="Twinkl"/>
          <w:noProof/>
          <w:sz w:val="24"/>
          <w:szCs w:val="24"/>
        </w:rPr>
        <w:lastRenderedPageBreak/>
        <w:drawing>
          <wp:inline distT="0" distB="0" distL="0" distR="0" wp14:anchorId="2BB13C6C" wp14:editId="499617DF">
            <wp:extent cx="2755900" cy="1580725"/>
            <wp:effectExtent l="0" t="0" r="6350" b="635"/>
            <wp:docPr id="114323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6991" name=""/>
                    <pic:cNvPicPr/>
                  </pic:nvPicPr>
                  <pic:blipFill>
                    <a:blip r:embed="rId14"/>
                    <a:stretch>
                      <a:fillRect/>
                    </a:stretch>
                  </pic:blipFill>
                  <pic:spPr>
                    <a:xfrm>
                      <a:off x="0" y="0"/>
                      <a:ext cx="2768264" cy="1587817"/>
                    </a:xfrm>
                    <a:prstGeom prst="rect">
                      <a:avLst/>
                    </a:prstGeom>
                  </pic:spPr>
                </pic:pic>
              </a:graphicData>
            </a:graphic>
          </wp:inline>
        </w:drawing>
      </w:r>
      <w:r>
        <w:rPr>
          <w:rFonts w:ascii="Twinkl" w:hAnsi="Twinkl"/>
          <w:sz w:val="24"/>
          <w:szCs w:val="24"/>
        </w:rPr>
        <w:t xml:space="preserve">           </w:t>
      </w:r>
      <w:r w:rsidRPr="00DD4D3A">
        <w:rPr>
          <w:rFonts w:ascii="Twinkl" w:hAnsi="Twinkl"/>
          <w:noProof/>
          <w:sz w:val="24"/>
          <w:szCs w:val="24"/>
        </w:rPr>
        <w:drawing>
          <wp:inline distT="0" distB="0" distL="0" distR="0" wp14:anchorId="172532CF" wp14:editId="26794048">
            <wp:extent cx="2609850" cy="1588990"/>
            <wp:effectExtent l="0" t="0" r="0" b="0"/>
            <wp:docPr id="1519875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75241" name=""/>
                    <pic:cNvPicPr/>
                  </pic:nvPicPr>
                  <pic:blipFill>
                    <a:blip r:embed="rId15"/>
                    <a:stretch>
                      <a:fillRect/>
                    </a:stretch>
                  </pic:blipFill>
                  <pic:spPr>
                    <a:xfrm>
                      <a:off x="0" y="0"/>
                      <a:ext cx="2617349" cy="1593556"/>
                    </a:xfrm>
                    <a:prstGeom prst="rect">
                      <a:avLst/>
                    </a:prstGeom>
                  </pic:spPr>
                </pic:pic>
              </a:graphicData>
            </a:graphic>
          </wp:inline>
        </w:drawing>
      </w:r>
    </w:p>
    <w:p w14:paraId="697AD857" w14:textId="77777777" w:rsidR="00DD4D3A" w:rsidRDefault="00DD4D3A" w:rsidP="00356491">
      <w:pPr>
        <w:rPr>
          <w:rFonts w:ascii="Twinkl" w:hAnsi="Twinkl"/>
          <w:sz w:val="24"/>
          <w:szCs w:val="24"/>
        </w:rPr>
      </w:pPr>
    </w:p>
    <w:p w14:paraId="72C8D5EC" w14:textId="77777777" w:rsidR="00F70B23" w:rsidRDefault="00F70B23" w:rsidP="00DD4D3A">
      <w:pPr>
        <w:rPr>
          <w:rFonts w:ascii="Twinkl" w:hAnsi="Twinkl"/>
          <w:sz w:val="24"/>
          <w:szCs w:val="24"/>
        </w:rPr>
      </w:pPr>
    </w:p>
    <w:p w14:paraId="3E6BC83A" w14:textId="154AD48D" w:rsidR="00DD4D3A" w:rsidRDefault="00DD4D3A" w:rsidP="00DD4D3A">
      <w:pPr>
        <w:rPr>
          <w:rFonts w:ascii="Twinkl" w:hAnsi="Twinkl"/>
          <w:sz w:val="24"/>
          <w:szCs w:val="24"/>
        </w:rPr>
      </w:pPr>
      <w:r>
        <w:rPr>
          <w:rFonts w:ascii="Twinkl" w:hAnsi="Twinkl"/>
          <w:sz w:val="24"/>
          <w:szCs w:val="24"/>
        </w:rPr>
        <w:t>Teacher benchmarks.</w:t>
      </w:r>
    </w:p>
    <w:p w14:paraId="0D982A64" w14:textId="6FF831F9" w:rsidR="00DD4D3A" w:rsidRDefault="00DD4D3A" w:rsidP="00DD4D3A">
      <w:pPr>
        <w:rPr>
          <w:rFonts w:ascii="Twinkl" w:hAnsi="Twinkl"/>
          <w:sz w:val="24"/>
          <w:szCs w:val="24"/>
        </w:rPr>
      </w:pPr>
      <w:r>
        <w:rPr>
          <w:rFonts w:ascii="Twinkl" w:hAnsi="Twinkl"/>
          <w:sz w:val="24"/>
          <w:szCs w:val="24"/>
        </w:rPr>
        <w:t xml:space="preserve">These are a set of guiding principles outlining a </w:t>
      </w:r>
      <w:proofErr w:type="gramStart"/>
      <w:r>
        <w:rPr>
          <w:rFonts w:ascii="Twinkl" w:hAnsi="Twinkl"/>
          <w:sz w:val="24"/>
          <w:szCs w:val="24"/>
        </w:rPr>
        <w:t>high quality</w:t>
      </w:r>
      <w:proofErr w:type="gramEnd"/>
      <w:r>
        <w:rPr>
          <w:rFonts w:ascii="Twinkl" w:hAnsi="Twinkl"/>
          <w:sz w:val="24"/>
          <w:szCs w:val="24"/>
        </w:rPr>
        <w:t xml:space="preserve"> oracy education, when used they allow for children to learn to talk and through talk.</w:t>
      </w:r>
    </w:p>
    <w:p w14:paraId="2578FAD6" w14:textId="23B4AD4F" w:rsidR="00DD4D3A" w:rsidRDefault="00DD4D3A" w:rsidP="00DD4D3A">
      <w:pPr>
        <w:rPr>
          <w:rFonts w:ascii="Twinkl" w:hAnsi="Twinkl"/>
          <w:sz w:val="24"/>
          <w:szCs w:val="24"/>
        </w:rPr>
      </w:pPr>
      <w:r w:rsidRPr="00DD4D3A">
        <w:rPr>
          <w:rFonts w:ascii="Twinkl" w:hAnsi="Twinkl"/>
          <w:noProof/>
          <w:sz w:val="24"/>
          <w:szCs w:val="24"/>
        </w:rPr>
        <w:drawing>
          <wp:inline distT="0" distB="0" distL="0" distR="0" wp14:anchorId="656963C6" wp14:editId="4422B7D3">
            <wp:extent cx="4371189" cy="5232400"/>
            <wp:effectExtent l="0" t="0" r="0" b="6350"/>
            <wp:docPr id="719740378" name="Picture 1" descr="A poster of a teacher bench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40378" name="Picture 1" descr="A poster of a teacher benchmark&#10;&#10;Description automatically generated"/>
                    <pic:cNvPicPr/>
                  </pic:nvPicPr>
                  <pic:blipFill>
                    <a:blip r:embed="rId16"/>
                    <a:stretch>
                      <a:fillRect/>
                    </a:stretch>
                  </pic:blipFill>
                  <pic:spPr>
                    <a:xfrm>
                      <a:off x="0" y="0"/>
                      <a:ext cx="4377469" cy="5239917"/>
                    </a:xfrm>
                    <a:prstGeom prst="rect">
                      <a:avLst/>
                    </a:prstGeom>
                  </pic:spPr>
                </pic:pic>
              </a:graphicData>
            </a:graphic>
          </wp:inline>
        </w:drawing>
      </w:r>
    </w:p>
    <w:p w14:paraId="1B30D51B" w14:textId="77777777" w:rsidR="00DD4D3A" w:rsidRDefault="00DD4D3A" w:rsidP="00DD4D3A">
      <w:pPr>
        <w:rPr>
          <w:rFonts w:ascii="Twinkl" w:hAnsi="Twinkl"/>
          <w:sz w:val="24"/>
          <w:szCs w:val="24"/>
        </w:rPr>
      </w:pPr>
    </w:p>
    <w:p w14:paraId="79E28A89" w14:textId="77777777" w:rsidR="00F70B23" w:rsidRDefault="00F70B23" w:rsidP="00DD4D3A">
      <w:pPr>
        <w:rPr>
          <w:rFonts w:ascii="Twinkl" w:hAnsi="Twinkl"/>
          <w:b/>
          <w:bCs/>
          <w:sz w:val="32"/>
          <w:szCs w:val="32"/>
        </w:rPr>
      </w:pPr>
    </w:p>
    <w:p w14:paraId="56648712" w14:textId="77777777" w:rsidR="00F70B23" w:rsidRDefault="00F70B23" w:rsidP="00DD4D3A">
      <w:pPr>
        <w:rPr>
          <w:rFonts w:ascii="Twinkl" w:hAnsi="Twinkl"/>
          <w:b/>
          <w:bCs/>
          <w:sz w:val="32"/>
          <w:szCs w:val="32"/>
        </w:rPr>
      </w:pPr>
    </w:p>
    <w:p w14:paraId="3D89E8EB" w14:textId="02E99778" w:rsidR="00DD4D3A" w:rsidRDefault="00DD4D3A" w:rsidP="00DD4D3A">
      <w:pPr>
        <w:rPr>
          <w:rFonts w:ascii="Twinkl" w:hAnsi="Twinkl"/>
          <w:b/>
          <w:bCs/>
          <w:sz w:val="32"/>
          <w:szCs w:val="32"/>
        </w:rPr>
      </w:pPr>
      <w:r w:rsidRPr="00DD4D3A">
        <w:rPr>
          <w:rFonts w:ascii="Twinkl" w:hAnsi="Twinkl"/>
          <w:b/>
          <w:bCs/>
          <w:sz w:val="32"/>
          <w:szCs w:val="32"/>
        </w:rPr>
        <w:t>Impact.</w:t>
      </w:r>
    </w:p>
    <w:p w14:paraId="3130AB90" w14:textId="7D6CAAC3" w:rsidR="00DD4D3A" w:rsidRDefault="00C0657F" w:rsidP="00DD4D3A">
      <w:pPr>
        <w:rPr>
          <w:rFonts w:ascii="Twinkl" w:hAnsi="Twinkl"/>
          <w:sz w:val="24"/>
          <w:szCs w:val="24"/>
        </w:rPr>
      </w:pPr>
      <w:r>
        <w:rPr>
          <w:rFonts w:ascii="Twinkl" w:hAnsi="Twinkl"/>
          <w:sz w:val="24"/>
          <w:szCs w:val="24"/>
        </w:rPr>
        <w:lastRenderedPageBreak/>
        <w:t xml:space="preserve">By the time children leave </w:t>
      </w:r>
      <w:proofErr w:type="spellStart"/>
      <w:r>
        <w:rPr>
          <w:rFonts w:ascii="Twinkl" w:hAnsi="Twinkl"/>
          <w:sz w:val="24"/>
          <w:szCs w:val="24"/>
        </w:rPr>
        <w:t>Gilthill</w:t>
      </w:r>
      <w:proofErr w:type="spellEnd"/>
      <w:r>
        <w:rPr>
          <w:rFonts w:ascii="Twinkl" w:hAnsi="Twinkl"/>
          <w:sz w:val="24"/>
          <w:szCs w:val="24"/>
        </w:rPr>
        <w:t xml:space="preserve"> we want them</w:t>
      </w:r>
      <w:r w:rsidR="00940545">
        <w:rPr>
          <w:rFonts w:ascii="Twinkl" w:hAnsi="Twinkl"/>
          <w:sz w:val="24"/>
          <w:szCs w:val="24"/>
        </w:rPr>
        <w:t xml:space="preserve"> to possess the oracy skills needed for their next stage of education and beyond.</w:t>
      </w:r>
      <w:r w:rsidR="00BF1764">
        <w:rPr>
          <w:rFonts w:ascii="Twinkl" w:hAnsi="Twinkl"/>
          <w:sz w:val="24"/>
          <w:szCs w:val="24"/>
        </w:rPr>
        <w:t xml:space="preserve"> They will develop and embed a variety of </w:t>
      </w:r>
      <w:r w:rsidR="00A97172">
        <w:rPr>
          <w:rFonts w:ascii="Twinkl" w:hAnsi="Twinkl"/>
          <w:sz w:val="24"/>
          <w:szCs w:val="24"/>
        </w:rPr>
        <w:t xml:space="preserve">speaking and listening skills. </w:t>
      </w:r>
    </w:p>
    <w:p w14:paraId="0721CA63" w14:textId="230C0CB8" w:rsidR="00F70B23" w:rsidRDefault="00F70B23" w:rsidP="00DD4D3A">
      <w:pPr>
        <w:rPr>
          <w:rFonts w:ascii="Twinkl" w:hAnsi="Twinkl"/>
          <w:sz w:val="24"/>
          <w:szCs w:val="24"/>
        </w:rPr>
      </w:pPr>
      <w:r>
        <w:rPr>
          <w:rFonts w:ascii="Twinkl" w:hAnsi="Twinkl"/>
          <w:sz w:val="24"/>
          <w:szCs w:val="24"/>
        </w:rPr>
        <w:t>A successful curriculum will</w:t>
      </w:r>
      <w:r w:rsidR="00A30D91">
        <w:rPr>
          <w:rFonts w:ascii="Twinkl" w:hAnsi="Twinkl"/>
          <w:sz w:val="24"/>
          <w:szCs w:val="24"/>
        </w:rPr>
        <w:t>:</w:t>
      </w:r>
    </w:p>
    <w:p w14:paraId="51084E9B" w14:textId="4909238A" w:rsidR="00A30D91" w:rsidRDefault="00A30D91" w:rsidP="00A30D91">
      <w:pPr>
        <w:pStyle w:val="ListParagraph"/>
        <w:numPr>
          <w:ilvl w:val="0"/>
          <w:numId w:val="2"/>
        </w:numPr>
        <w:rPr>
          <w:rFonts w:ascii="Twinkl" w:hAnsi="Twinkl"/>
          <w:sz w:val="24"/>
          <w:szCs w:val="24"/>
        </w:rPr>
      </w:pPr>
      <w:r w:rsidRPr="00A30D91">
        <w:rPr>
          <w:rFonts w:ascii="Twinkl" w:hAnsi="Twinkl"/>
          <w:sz w:val="24"/>
          <w:szCs w:val="24"/>
        </w:rPr>
        <w:t>Increase a love of learning</w:t>
      </w:r>
    </w:p>
    <w:p w14:paraId="3527D581" w14:textId="255FD213" w:rsidR="00A30D91" w:rsidRDefault="008F7C8D" w:rsidP="00A30D91">
      <w:pPr>
        <w:pStyle w:val="ListParagraph"/>
        <w:numPr>
          <w:ilvl w:val="0"/>
          <w:numId w:val="2"/>
        </w:numPr>
        <w:rPr>
          <w:rFonts w:ascii="Twinkl" w:hAnsi="Twinkl"/>
          <w:sz w:val="24"/>
          <w:szCs w:val="24"/>
        </w:rPr>
      </w:pPr>
      <w:r>
        <w:rPr>
          <w:rFonts w:ascii="Twinkl" w:hAnsi="Twinkl"/>
          <w:sz w:val="24"/>
          <w:szCs w:val="24"/>
        </w:rPr>
        <w:t>Improve academic outcomes for all pupils</w:t>
      </w:r>
    </w:p>
    <w:p w14:paraId="2504C135" w14:textId="69EC3A0B" w:rsidR="008F7C8D" w:rsidRDefault="0003312C" w:rsidP="00A30D91">
      <w:pPr>
        <w:pStyle w:val="ListParagraph"/>
        <w:numPr>
          <w:ilvl w:val="0"/>
          <w:numId w:val="2"/>
        </w:numPr>
        <w:rPr>
          <w:rFonts w:ascii="Twinkl" w:hAnsi="Twinkl"/>
          <w:sz w:val="24"/>
          <w:szCs w:val="24"/>
        </w:rPr>
      </w:pPr>
      <w:r>
        <w:rPr>
          <w:rFonts w:ascii="Twinkl" w:hAnsi="Twinkl"/>
          <w:sz w:val="24"/>
          <w:szCs w:val="24"/>
        </w:rPr>
        <w:t>Enhance employability chances</w:t>
      </w:r>
    </w:p>
    <w:p w14:paraId="73AC8A51" w14:textId="739DF304" w:rsidR="0003312C" w:rsidRDefault="0003312C" w:rsidP="00A30D91">
      <w:pPr>
        <w:pStyle w:val="ListParagraph"/>
        <w:numPr>
          <w:ilvl w:val="0"/>
          <w:numId w:val="2"/>
        </w:numPr>
        <w:rPr>
          <w:rFonts w:ascii="Twinkl" w:hAnsi="Twinkl"/>
          <w:sz w:val="24"/>
          <w:szCs w:val="24"/>
        </w:rPr>
      </w:pPr>
      <w:r>
        <w:rPr>
          <w:rFonts w:ascii="Twinkl" w:hAnsi="Twinkl"/>
          <w:sz w:val="24"/>
          <w:szCs w:val="24"/>
        </w:rPr>
        <w:t>Support transitions</w:t>
      </w:r>
    </w:p>
    <w:p w14:paraId="1884D2F7" w14:textId="696803DF" w:rsidR="0003312C" w:rsidRPr="00A30D91" w:rsidRDefault="005C3F8B" w:rsidP="00A30D91">
      <w:pPr>
        <w:pStyle w:val="ListParagraph"/>
        <w:numPr>
          <w:ilvl w:val="0"/>
          <w:numId w:val="2"/>
        </w:numPr>
        <w:rPr>
          <w:rFonts w:ascii="Twinkl" w:hAnsi="Twinkl"/>
          <w:sz w:val="24"/>
          <w:szCs w:val="24"/>
        </w:rPr>
      </w:pPr>
      <w:r>
        <w:rPr>
          <w:rFonts w:ascii="Twinkl" w:hAnsi="Twinkl"/>
          <w:sz w:val="24"/>
          <w:szCs w:val="24"/>
        </w:rPr>
        <w:t>Build confidence and well-being</w:t>
      </w:r>
    </w:p>
    <w:p w14:paraId="2342B595" w14:textId="77777777" w:rsidR="00A30D91" w:rsidRDefault="00A30D91" w:rsidP="00DD4D3A">
      <w:pPr>
        <w:rPr>
          <w:rFonts w:ascii="Twinkl" w:hAnsi="Twinkl"/>
          <w:sz w:val="24"/>
          <w:szCs w:val="24"/>
        </w:rPr>
      </w:pPr>
    </w:p>
    <w:p w14:paraId="2346928E" w14:textId="5F880A13" w:rsidR="00F70B23" w:rsidRPr="00DD4D3A" w:rsidRDefault="00D02257" w:rsidP="00DD4D3A">
      <w:pPr>
        <w:rPr>
          <w:rFonts w:ascii="Twinkl" w:hAnsi="Twinkl"/>
          <w:sz w:val="24"/>
          <w:szCs w:val="24"/>
        </w:rPr>
      </w:pPr>
      <w:r>
        <w:rPr>
          <w:rFonts w:ascii="Twinkl" w:hAnsi="Twinkl"/>
          <w:sz w:val="24"/>
          <w:szCs w:val="24"/>
        </w:rPr>
        <w:t>Review – Jan 2027</w:t>
      </w:r>
    </w:p>
    <w:p w14:paraId="78E5D924" w14:textId="77777777" w:rsidR="00C061CC" w:rsidRDefault="00C061CC">
      <w:pPr>
        <w:rPr>
          <w:rFonts w:ascii="Twinkl" w:hAnsi="Twinkl"/>
          <w:sz w:val="32"/>
          <w:szCs w:val="32"/>
        </w:rPr>
      </w:pPr>
    </w:p>
    <w:p w14:paraId="3FDC67DA" w14:textId="77777777" w:rsidR="00C061CC" w:rsidRPr="00C061CC" w:rsidRDefault="00C061CC">
      <w:pPr>
        <w:rPr>
          <w:rFonts w:ascii="Twinkl" w:hAnsi="Twinkl"/>
          <w:sz w:val="24"/>
          <w:szCs w:val="24"/>
        </w:rPr>
      </w:pPr>
    </w:p>
    <w:sectPr w:rsidR="00C061CC" w:rsidRPr="00C061CC" w:rsidSect="00C061C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inkl">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F36ED"/>
    <w:multiLevelType w:val="hybridMultilevel"/>
    <w:tmpl w:val="ADB2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502BDB"/>
    <w:multiLevelType w:val="hybridMultilevel"/>
    <w:tmpl w:val="3A2C0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0779485">
    <w:abstractNumId w:val="0"/>
  </w:num>
  <w:num w:numId="2" w16cid:durableId="1617369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1CC"/>
    <w:rsid w:val="0003312C"/>
    <w:rsid w:val="000F6911"/>
    <w:rsid w:val="001044C0"/>
    <w:rsid w:val="0034367C"/>
    <w:rsid w:val="00356491"/>
    <w:rsid w:val="0055317E"/>
    <w:rsid w:val="005C3F8B"/>
    <w:rsid w:val="005F4103"/>
    <w:rsid w:val="00633415"/>
    <w:rsid w:val="007C5ECE"/>
    <w:rsid w:val="008F7C8D"/>
    <w:rsid w:val="00940545"/>
    <w:rsid w:val="00A30D91"/>
    <w:rsid w:val="00A97172"/>
    <w:rsid w:val="00BF1764"/>
    <w:rsid w:val="00C061CC"/>
    <w:rsid w:val="00C0657F"/>
    <w:rsid w:val="00D02257"/>
    <w:rsid w:val="00DD4D3A"/>
    <w:rsid w:val="00E15C11"/>
    <w:rsid w:val="00F517D5"/>
    <w:rsid w:val="00F70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49CFA"/>
  <w15:chartTrackingRefBased/>
  <w15:docId w15:val="{9113C95D-0456-480D-9220-45E35AB48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061CC"/>
  </w:style>
  <w:style w:type="paragraph" w:styleId="ListParagraph">
    <w:name w:val="List Paragraph"/>
    <w:basedOn w:val="Normal"/>
    <w:uiPriority w:val="34"/>
    <w:qFormat/>
    <w:rsid w:val="00F517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cebc4f-308d-4024-a249-3477280f1d0d">
      <Terms xmlns="http://schemas.microsoft.com/office/infopath/2007/PartnerControls"/>
    </lcf76f155ced4ddcb4097134ff3c332f>
    <TaxCatchAll xmlns="0ee2473b-12b6-4463-a89f-4f63ce2e7b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E049B747B4BB458EA090A6B6BCE471" ma:contentTypeVersion="19" ma:contentTypeDescription="Create a new document." ma:contentTypeScope="" ma:versionID="255f6b9cd74d628bbfd6a26b06bd9945">
  <xsd:schema xmlns:xsd="http://www.w3.org/2001/XMLSchema" xmlns:xs="http://www.w3.org/2001/XMLSchema" xmlns:p="http://schemas.microsoft.com/office/2006/metadata/properties" xmlns:ns2="5bcebc4f-308d-4024-a249-3477280f1d0d" xmlns:ns3="0ee2473b-12b6-4463-a89f-4f63ce2e7b0a" targetNamespace="http://schemas.microsoft.com/office/2006/metadata/properties" ma:root="true" ma:fieldsID="cbee612b46da5defa72e0b7a0832367e" ns2:_="" ns3:_="">
    <xsd:import namespace="5bcebc4f-308d-4024-a249-3477280f1d0d"/>
    <xsd:import namespace="0ee2473b-12b6-4463-a89f-4f63ce2e7b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cebc4f-308d-4024-a249-3477280f1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f926730-8514-460f-97dc-20fb64de49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e2473b-12b6-4463-a89f-4f63ce2e7b0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4928cba-57bc-4c72-a8c2-cf8d542740bb}" ma:internalName="TaxCatchAll" ma:showField="CatchAllData" ma:web="0ee2473b-12b6-4463-a89f-4f63ce2e7b0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228683-5E07-485F-BA56-EB004CC14F7C}">
  <ds:schemaRefs>
    <ds:schemaRef ds:uri="http://schemas.microsoft.com/office/2006/metadata/properties"/>
    <ds:schemaRef ds:uri="http://schemas.microsoft.com/office/infopath/2007/PartnerControls"/>
    <ds:schemaRef ds:uri="5bcebc4f-308d-4024-a249-3477280f1d0d"/>
    <ds:schemaRef ds:uri="0ee2473b-12b6-4463-a89f-4f63ce2e7b0a"/>
  </ds:schemaRefs>
</ds:datastoreItem>
</file>

<file path=customXml/itemProps2.xml><?xml version="1.0" encoding="utf-8"?>
<ds:datastoreItem xmlns:ds="http://schemas.openxmlformats.org/officeDocument/2006/customXml" ds:itemID="{E8E4D5E7-12CD-43C3-8C3E-EEDDD81BBD7B}">
  <ds:schemaRefs>
    <ds:schemaRef ds:uri="http://schemas.microsoft.com/sharepoint/v3/contenttype/forms"/>
  </ds:schemaRefs>
</ds:datastoreItem>
</file>

<file path=customXml/itemProps3.xml><?xml version="1.0" encoding="utf-8"?>
<ds:datastoreItem xmlns:ds="http://schemas.openxmlformats.org/officeDocument/2006/customXml" ds:itemID="{133B68B0-7A12-48E5-A3AF-122865B89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cebc4f-308d-4024-a249-3477280f1d0d"/>
    <ds:schemaRef ds:uri="0ee2473b-12b6-4463-a89f-4f63ce2e7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550</Words>
  <Characters>3245</Characters>
  <Application>Microsoft Office Word</Application>
  <DocSecurity>0</DocSecurity>
  <Lines>92</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Langmaid</dc:creator>
  <cp:keywords/>
  <dc:description/>
  <cp:lastModifiedBy>Nicky Allison</cp:lastModifiedBy>
  <cp:revision>2</cp:revision>
  <dcterms:created xsi:type="dcterms:W3CDTF">2025-12-16T15:21:00Z</dcterms:created>
  <dcterms:modified xsi:type="dcterms:W3CDTF">2025-12-16T15:21:00Z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0x010100D0E049B747B4BB458EA090A6B6BCE471</vt:lpwstr>
  </property>
</Properties>
</file>