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7F062" w14:textId="242F9727" w:rsidR="00913BD8" w:rsidRDefault="00000000"/>
    <w:tbl>
      <w:tblPr>
        <w:tblW w:w="5232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8"/>
        <w:gridCol w:w="5700"/>
        <w:gridCol w:w="6007"/>
      </w:tblGrid>
      <w:tr w:rsidR="009C471E" w14:paraId="0C8D58BC" w14:textId="581D4A8F" w:rsidTr="008503A4"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C7881" w14:textId="77777777" w:rsidR="009C471E" w:rsidRDefault="009C471E" w:rsidP="0070677F">
            <w:pPr>
              <w:pStyle w:val="TableHeader"/>
              <w:jc w:val="left"/>
            </w:pPr>
            <w:r>
              <w:t>Intended outcome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7D96F" w14:textId="77777777" w:rsidR="009C471E" w:rsidRDefault="009C471E" w:rsidP="0070677F">
            <w:pPr>
              <w:pStyle w:val="TableHeader"/>
              <w:jc w:val="left"/>
            </w:pPr>
            <w:r>
              <w:t>Success criteria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</w:tcPr>
          <w:p w14:paraId="76C224FD" w14:textId="21E5E522" w:rsidR="009C471E" w:rsidRDefault="009C471E" w:rsidP="0070677F">
            <w:pPr>
              <w:pStyle w:val="TableHeader"/>
              <w:jc w:val="left"/>
            </w:pPr>
            <w:r>
              <w:t xml:space="preserve">Achievements (end of 2021/22 academic year) </w:t>
            </w:r>
          </w:p>
        </w:tc>
      </w:tr>
      <w:tr w:rsidR="009C471E" w14:paraId="69C31C16" w14:textId="11120456" w:rsidTr="008503A4"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1DCDF" w14:textId="77777777" w:rsidR="009C471E" w:rsidRDefault="009C471E" w:rsidP="0070677F">
            <w:pPr>
              <w:pStyle w:val="TableRow"/>
            </w:pPr>
            <w:r w:rsidRPr="009A1C6D">
              <w:rPr>
                <w:sz w:val="22"/>
                <w:szCs w:val="22"/>
              </w:rPr>
              <w:t>PP pupils with SEN will make the same rate of progress as other SEN pupils.</w:t>
            </w:r>
            <w:r>
              <w:t xml:space="preserve"> </w:t>
            </w:r>
          </w:p>
          <w:p w14:paraId="67D30FCE" w14:textId="77777777" w:rsidR="009C471E" w:rsidRDefault="009C471E" w:rsidP="0070677F">
            <w:pPr>
              <w:pStyle w:val="TableRow"/>
            </w:pPr>
            <w:r>
              <w:t>7 of 39 pp children also have SEN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245E7" w14:textId="2F2F77AD" w:rsidR="009C471E" w:rsidRPr="008503A4" w:rsidRDefault="009C471E" w:rsidP="009C471E">
            <w:pPr>
              <w:pStyle w:val="TableRowCentered"/>
              <w:numPr>
                <w:ilvl w:val="0"/>
                <w:numId w:val="1"/>
              </w:numPr>
              <w:jc w:val="left"/>
              <w:rPr>
                <w:sz w:val="22"/>
                <w:szCs w:val="22"/>
                <w:highlight w:val="green"/>
              </w:rPr>
            </w:pPr>
            <w:r w:rsidRPr="008503A4">
              <w:rPr>
                <w:sz w:val="22"/>
                <w:szCs w:val="22"/>
                <w:highlight w:val="green"/>
              </w:rPr>
              <w:t xml:space="preserve">PP SEN pupils make expected progress. </w:t>
            </w:r>
          </w:p>
          <w:p w14:paraId="4B0F01E9" w14:textId="19C92E39" w:rsidR="004C4B53" w:rsidRDefault="004C4B53" w:rsidP="004C4B53">
            <w:pPr>
              <w:pStyle w:val="TableRowCentered"/>
              <w:jc w:val="left"/>
              <w:rPr>
                <w:sz w:val="22"/>
                <w:szCs w:val="22"/>
              </w:rPr>
            </w:pPr>
          </w:p>
          <w:p w14:paraId="55FF0DBB" w14:textId="34BEB4A6" w:rsidR="004C4B53" w:rsidRDefault="004C4B53" w:rsidP="004C4B53">
            <w:pPr>
              <w:pStyle w:val="TableRowCentered"/>
              <w:jc w:val="left"/>
              <w:rPr>
                <w:sz w:val="22"/>
                <w:szCs w:val="22"/>
              </w:rPr>
            </w:pPr>
          </w:p>
          <w:p w14:paraId="1325057F" w14:textId="77777777" w:rsidR="004C4B53" w:rsidRPr="00B67B51" w:rsidRDefault="004C4B53" w:rsidP="004C4B53">
            <w:pPr>
              <w:pStyle w:val="TableRowCentered"/>
              <w:jc w:val="left"/>
              <w:rPr>
                <w:sz w:val="22"/>
                <w:szCs w:val="22"/>
              </w:rPr>
            </w:pPr>
          </w:p>
          <w:p w14:paraId="03107042" w14:textId="77777777" w:rsidR="009C471E" w:rsidRPr="008503A4" w:rsidRDefault="009C471E" w:rsidP="009C471E">
            <w:pPr>
              <w:pStyle w:val="TableRowCentered"/>
              <w:numPr>
                <w:ilvl w:val="0"/>
                <w:numId w:val="1"/>
              </w:numPr>
              <w:jc w:val="left"/>
              <w:rPr>
                <w:sz w:val="22"/>
                <w:szCs w:val="22"/>
                <w:highlight w:val="green"/>
              </w:rPr>
            </w:pPr>
            <w:r w:rsidRPr="008503A4">
              <w:rPr>
                <w:sz w:val="22"/>
                <w:szCs w:val="22"/>
                <w:highlight w:val="green"/>
              </w:rPr>
              <w:t xml:space="preserve">Pupils are engaged in their learning (through observations and discussions with pupils and staff) </w:t>
            </w:r>
          </w:p>
          <w:p w14:paraId="28AF5671" w14:textId="77777777" w:rsidR="009C471E" w:rsidRPr="008503A4" w:rsidRDefault="009C471E" w:rsidP="009C471E">
            <w:pPr>
              <w:pStyle w:val="TableRowCentered"/>
              <w:numPr>
                <w:ilvl w:val="0"/>
                <w:numId w:val="1"/>
              </w:numPr>
              <w:jc w:val="left"/>
              <w:rPr>
                <w:sz w:val="22"/>
                <w:szCs w:val="22"/>
                <w:highlight w:val="green"/>
              </w:rPr>
            </w:pPr>
            <w:r w:rsidRPr="008503A4">
              <w:rPr>
                <w:sz w:val="22"/>
                <w:szCs w:val="22"/>
                <w:highlight w:val="green"/>
              </w:rPr>
              <w:t>Intervention have a positive impact on progress</w:t>
            </w:r>
          </w:p>
          <w:p w14:paraId="6993E4F3" w14:textId="77777777" w:rsidR="009C471E" w:rsidRPr="005D4F88" w:rsidRDefault="009C471E" w:rsidP="009C471E">
            <w:pPr>
              <w:pStyle w:val="TableRowCentered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  <w:r w:rsidRPr="008503A4">
              <w:rPr>
                <w:sz w:val="22"/>
                <w:szCs w:val="22"/>
                <w:highlight w:val="green"/>
              </w:rPr>
              <w:t>Planning addresses individual need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64EFD" w14:textId="4D42D875" w:rsidR="009C471E" w:rsidRDefault="004C4B53" w:rsidP="009C471E">
            <w:pPr>
              <w:pStyle w:val="TableRowCentered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86% made expected progress (6 pupils)</w:t>
            </w:r>
          </w:p>
          <w:p w14:paraId="2F8EC274" w14:textId="1352C367" w:rsidR="004C4B53" w:rsidRDefault="004C4B53" w:rsidP="009C471E">
            <w:pPr>
              <w:pStyle w:val="TableRowCentered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14% more than expected progress (1 pupil) </w:t>
            </w:r>
          </w:p>
          <w:p w14:paraId="435772E6" w14:textId="70FBF47C" w:rsidR="004C4B53" w:rsidRDefault="004C4B53" w:rsidP="009C471E">
            <w:pPr>
              <w:pStyle w:val="TableRowCentered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PP SEN pupils made less than expected progress</w:t>
            </w:r>
            <w:r w:rsidR="00F17B57">
              <w:rPr>
                <w:sz w:val="22"/>
                <w:szCs w:val="22"/>
              </w:rPr>
              <w:t xml:space="preserve"> from their starting points.</w:t>
            </w:r>
          </w:p>
          <w:p w14:paraId="58E8B981" w14:textId="77777777" w:rsidR="004C4B53" w:rsidRDefault="004C4B53" w:rsidP="009C471E">
            <w:pPr>
              <w:pStyle w:val="TableRowCentered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Lesson observations show PP SEN pupils engaged in their lessons. Termly pupil progress meetings highlight interventions in place to support. </w:t>
            </w:r>
          </w:p>
          <w:p w14:paraId="769895AA" w14:textId="416D66F0" w:rsidR="00F17B57" w:rsidRDefault="00F17B57" w:rsidP="009C471E">
            <w:pPr>
              <w:pStyle w:val="TableRowCentered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Teachers have a good understanding of PP SEN pupil and their individual need. </w:t>
            </w:r>
          </w:p>
          <w:p w14:paraId="247F2B20" w14:textId="77777777" w:rsidR="00F17B57" w:rsidRDefault="00F17B57" w:rsidP="009C471E">
            <w:pPr>
              <w:pStyle w:val="TableRowCentered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PP calculator highlights main area of need. This matches interventions in place.</w:t>
            </w:r>
          </w:p>
          <w:p w14:paraId="7B3D059F" w14:textId="1025549A" w:rsidR="00F17B57" w:rsidRDefault="00F17B57" w:rsidP="009C471E">
            <w:pPr>
              <w:pStyle w:val="TableRowCentered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Termly tracking shows PP SEN pupils are not falling behind and regressing in their learning. End of year progress shows 100% of PP SEN children have made expected + progress from their starting point with one child making accelerated progress. </w:t>
            </w:r>
          </w:p>
        </w:tc>
      </w:tr>
      <w:tr w:rsidR="009C471E" w14:paraId="2FE2E588" w14:textId="6F0D8F4F" w:rsidTr="008503A4"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961B6" w14:textId="77777777" w:rsidR="009C471E" w:rsidRDefault="009C471E" w:rsidP="0070677F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Improve the attendance of PP children 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68EA2" w14:textId="3783233A" w:rsidR="009C471E" w:rsidRDefault="009C471E" w:rsidP="009C471E">
            <w:pPr>
              <w:pStyle w:val="TableRowCentered"/>
              <w:numPr>
                <w:ilvl w:val="0"/>
                <w:numId w:val="2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Attendance of pp children in each year group is above 95%</w:t>
            </w:r>
          </w:p>
          <w:p w14:paraId="3CEB26F0" w14:textId="244187E0" w:rsidR="00780783" w:rsidRDefault="00780783" w:rsidP="00780783">
            <w:pPr>
              <w:pStyle w:val="TableRowCentered"/>
              <w:jc w:val="left"/>
              <w:rPr>
                <w:sz w:val="22"/>
                <w:szCs w:val="22"/>
              </w:rPr>
            </w:pPr>
          </w:p>
          <w:p w14:paraId="0106692E" w14:textId="6DFDC427" w:rsidR="00780783" w:rsidRDefault="00780783" w:rsidP="00780783">
            <w:pPr>
              <w:pStyle w:val="TableRowCentered"/>
              <w:jc w:val="left"/>
              <w:rPr>
                <w:sz w:val="22"/>
                <w:szCs w:val="22"/>
              </w:rPr>
            </w:pPr>
          </w:p>
          <w:p w14:paraId="3B5B0015" w14:textId="2D1F0B02" w:rsidR="00780783" w:rsidRDefault="00780783" w:rsidP="00780783">
            <w:pPr>
              <w:pStyle w:val="TableRowCentered"/>
              <w:jc w:val="left"/>
              <w:rPr>
                <w:sz w:val="22"/>
                <w:szCs w:val="22"/>
              </w:rPr>
            </w:pPr>
          </w:p>
          <w:p w14:paraId="1AF61C5A" w14:textId="6EAA6D41" w:rsidR="00780783" w:rsidRDefault="00780783" w:rsidP="00780783">
            <w:pPr>
              <w:pStyle w:val="TableRowCentered"/>
              <w:jc w:val="left"/>
              <w:rPr>
                <w:sz w:val="22"/>
                <w:szCs w:val="22"/>
              </w:rPr>
            </w:pPr>
          </w:p>
          <w:p w14:paraId="1B2E382C" w14:textId="77777777" w:rsidR="00780783" w:rsidRDefault="00780783" w:rsidP="00780783">
            <w:pPr>
              <w:pStyle w:val="TableRowCentered"/>
              <w:jc w:val="left"/>
              <w:rPr>
                <w:sz w:val="22"/>
                <w:szCs w:val="22"/>
              </w:rPr>
            </w:pPr>
          </w:p>
          <w:p w14:paraId="495ABF15" w14:textId="61837199" w:rsidR="009C471E" w:rsidRPr="008503A4" w:rsidRDefault="009C471E" w:rsidP="009C471E">
            <w:pPr>
              <w:pStyle w:val="TableRowCentered"/>
              <w:numPr>
                <w:ilvl w:val="0"/>
                <w:numId w:val="2"/>
              </w:numPr>
              <w:jc w:val="left"/>
              <w:rPr>
                <w:sz w:val="22"/>
                <w:szCs w:val="22"/>
                <w:highlight w:val="green"/>
              </w:rPr>
            </w:pPr>
            <w:r w:rsidRPr="008503A4">
              <w:rPr>
                <w:sz w:val="22"/>
                <w:szCs w:val="22"/>
                <w:highlight w:val="green"/>
              </w:rPr>
              <w:t xml:space="preserve">5 out of the 7 PP children identified have raised attendance to a minimum of 90% </w:t>
            </w:r>
          </w:p>
          <w:p w14:paraId="0AA9ED9A" w14:textId="340CD974" w:rsidR="006D72A8" w:rsidRDefault="006D72A8" w:rsidP="006D72A8">
            <w:pPr>
              <w:pStyle w:val="TableRowCentered"/>
              <w:jc w:val="left"/>
              <w:rPr>
                <w:sz w:val="22"/>
                <w:szCs w:val="22"/>
              </w:rPr>
            </w:pPr>
          </w:p>
          <w:p w14:paraId="6BFF0CEE" w14:textId="77777777" w:rsidR="006D72A8" w:rsidRDefault="006D72A8" w:rsidP="006D72A8">
            <w:pPr>
              <w:pStyle w:val="TableRowCentered"/>
              <w:jc w:val="left"/>
              <w:rPr>
                <w:sz w:val="22"/>
                <w:szCs w:val="22"/>
              </w:rPr>
            </w:pPr>
          </w:p>
          <w:p w14:paraId="3961677D" w14:textId="77777777" w:rsidR="009C471E" w:rsidRPr="008503A4" w:rsidRDefault="009C471E" w:rsidP="009C471E">
            <w:pPr>
              <w:pStyle w:val="TableRowCentered"/>
              <w:numPr>
                <w:ilvl w:val="0"/>
                <w:numId w:val="2"/>
              </w:numPr>
              <w:jc w:val="left"/>
              <w:rPr>
                <w:sz w:val="22"/>
                <w:szCs w:val="22"/>
                <w:highlight w:val="green"/>
              </w:rPr>
            </w:pPr>
            <w:r w:rsidRPr="008503A4">
              <w:rPr>
                <w:sz w:val="22"/>
                <w:szCs w:val="22"/>
                <w:highlight w:val="green"/>
              </w:rPr>
              <w:t>Parental guidance provided resulting in increased attendance.</w:t>
            </w:r>
          </w:p>
          <w:p w14:paraId="68CBFE99" w14:textId="77777777" w:rsidR="009C471E" w:rsidRPr="008D6FCA" w:rsidRDefault="009C471E" w:rsidP="009C471E">
            <w:pPr>
              <w:pStyle w:val="TableRowCentered"/>
              <w:numPr>
                <w:ilvl w:val="0"/>
                <w:numId w:val="2"/>
              </w:numPr>
              <w:jc w:val="left"/>
              <w:rPr>
                <w:sz w:val="22"/>
                <w:szCs w:val="22"/>
                <w:highlight w:val="green"/>
              </w:rPr>
            </w:pPr>
            <w:r w:rsidRPr="008D6FCA">
              <w:rPr>
                <w:sz w:val="22"/>
                <w:szCs w:val="22"/>
                <w:highlight w:val="green"/>
              </w:rPr>
              <w:t xml:space="preserve">Attendance practices and procedures have been reviewed. </w:t>
            </w:r>
          </w:p>
          <w:p w14:paraId="74F32BC4" w14:textId="77777777" w:rsidR="009C471E" w:rsidRDefault="009C471E" w:rsidP="009C471E">
            <w:pPr>
              <w:pStyle w:val="TableRowCentered"/>
              <w:numPr>
                <w:ilvl w:val="0"/>
                <w:numId w:val="2"/>
              </w:numPr>
              <w:jc w:val="left"/>
              <w:rPr>
                <w:sz w:val="22"/>
                <w:szCs w:val="22"/>
              </w:rPr>
            </w:pPr>
            <w:r w:rsidRPr="008D6FCA">
              <w:rPr>
                <w:sz w:val="22"/>
                <w:szCs w:val="22"/>
                <w:highlight w:val="green"/>
              </w:rPr>
              <w:t>Daily monitoring is conducted alongside support mechanisms.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BA72E" w14:textId="77777777" w:rsidR="009C471E" w:rsidRDefault="00F17B57" w:rsidP="009C471E">
            <w:pPr>
              <w:pStyle w:val="TableRowCentered"/>
              <w:numPr>
                <w:ilvl w:val="0"/>
                <w:numId w:val="2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R – 93.71%</w:t>
            </w:r>
          </w:p>
          <w:p w14:paraId="1B04F98A" w14:textId="77777777" w:rsidR="00F17B57" w:rsidRDefault="00F17B57" w:rsidP="009C471E">
            <w:pPr>
              <w:pStyle w:val="TableRowCentered"/>
              <w:numPr>
                <w:ilvl w:val="0"/>
                <w:numId w:val="2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="00AC317C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AC317C">
              <w:rPr>
                <w:sz w:val="22"/>
                <w:szCs w:val="22"/>
              </w:rPr>
              <w:t>94.42%</w:t>
            </w:r>
          </w:p>
          <w:p w14:paraId="50319910" w14:textId="77777777" w:rsidR="00AC317C" w:rsidRDefault="00AC317C" w:rsidP="009C471E">
            <w:pPr>
              <w:pStyle w:val="TableRowCentered"/>
              <w:numPr>
                <w:ilvl w:val="0"/>
                <w:numId w:val="2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– 90.84%</w:t>
            </w:r>
          </w:p>
          <w:p w14:paraId="3E5DA2A4" w14:textId="77777777" w:rsidR="00AC317C" w:rsidRDefault="00AC317C" w:rsidP="009C471E">
            <w:pPr>
              <w:pStyle w:val="TableRowCentered"/>
              <w:numPr>
                <w:ilvl w:val="0"/>
                <w:numId w:val="2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– 94.56%</w:t>
            </w:r>
          </w:p>
          <w:p w14:paraId="77EE4C50" w14:textId="08E43A5B" w:rsidR="00AC317C" w:rsidRDefault="00AC317C" w:rsidP="009C471E">
            <w:pPr>
              <w:pStyle w:val="TableRowCentered"/>
              <w:numPr>
                <w:ilvl w:val="0"/>
                <w:numId w:val="2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– 84.92% </w:t>
            </w:r>
          </w:p>
          <w:p w14:paraId="54C30272" w14:textId="77777777" w:rsidR="00AC317C" w:rsidRDefault="00AC317C" w:rsidP="009C471E">
            <w:pPr>
              <w:pStyle w:val="TableRowCentered"/>
              <w:numPr>
                <w:ilvl w:val="0"/>
                <w:numId w:val="2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– 94.9%</w:t>
            </w:r>
          </w:p>
          <w:p w14:paraId="7FC8F98D" w14:textId="77777777" w:rsidR="00AC317C" w:rsidRPr="00C16ECA" w:rsidRDefault="00AC317C" w:rsidP="009C471E">
            <w:pPr>
              <w:pStyle w:val="TableRowCentered"/>
              <w:numPr>
                <w:ilvl w:val="0"/>
                <w:numId w:val="2"/>
              </w:numPr>
              <w:jc w:val="left"/>
              <w:rPr>
                <w:sz w:val="22"/>
                <w:szCs w:val="22"/>
              </w:rPr>
            </w:pPr>
            <w:r w:rsidRPr="00C16ECA">
              <w:rPr>
                <w:sz w:val="22"/>
                <w:szCs w:val="22"/>
              </w:rPr>
              <w:t>6 – 95.09%</w:t>
            </w:r>
          </w:p>
          <w:p w14:paraId="400CDADA" w14:textId="77777777" w:rsidR="00241255" w:rsidRDefault="0036682D" w:rsidP="009C471E">
            <w:pPr>
              <w:pStyle w:val="TableRowCentered"/>
              <w:numPr>
                <w:ilvl w:val="0"/>
                <w:numId w:val="2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out of the 7 identified PP children (with previously poor attendance) have </w:t>
            </w:r>
            <w:r w:rsidR="006D72A8">
              <w:rPr>
                <w:sz w:val="22"/>
                <w:szCs w:val="22"/>
              </w:rPr>
              <w:t xml:space="preserve">increased to +90% by the end of the 2021/22 academic year. </w:t>
            </w:r>
          </w:p>
          <w:p w14:paraId="5CD15451" w14:textId="5C59D4E8" w:rsidR="006D72A8" w:rsidRDefault="006D72A8" w:rsidP="009C471E">
            <w:pPr>
              <w:pStyle w:val="TableRowCentered"/>
              <w:numPr>
                <w:ilvl w:val="0"/>
                <w:numId w:val="2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Parent </w:t>
            </w:r>
            <w:r w:rsidR="008503A4">
              <w:rPr>
                <w:sz w:val="22"/>
                <w:szCs w:val="22"/>
              </w:rPr>
              <w:t>attendance</w:t>
            </w:r>
            <w:r>
              <w:rPr>
                <w:sz w:val="22"/>
                <w:szCs w:val="22"/>
              </w:rPr>
              <w:t xml:space="preserve"> leaflet revised and shared </w:t>
            </w:r>
            <w:r w:rsidR="008503A4">
              <w:rPr>
                <w:sz w:val="22"/>
                <w:szCs w:val="22"/>
              </w:rPr>
              <w:t>with</w:t>
            </w:r>
            <w:r>
              <w:rPr>
                <w:sz w:val="22"/>
                <w:szCs w:val="22"/>
              </w:rPr>
              <w:t xml:space="preserve"> key </w:t>
            </w:r>
            <w:r w:rsidR="008503A4">
              <w:rPr>
                <w:sz w:val="22"/>
                <w:szCs w:val="22"/>
              </w:rPr>
              <w:t>parents</w:t>
            </w:r>
            <w:r>
              <w:rPr>
                <w:sz w:val="22"/>
                <w:szCs w:val="22"/>
              </w:rPr>
              <w:t xml:space="preserve"> as well as all new starters</w:t>
            </w:r>
          </w:p>
          <w:p w14:paraId="554F13E6" w14:textId="09852258" w:rsidR="00307000" w:rsidRDefault="002832CA" w:rsidP="00307000">
            <w:pPr>
              <w:pStyle w:val="TableRowCentered"/>
              <w:ind w:left="77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New </w:t>
            </w:r>
            <w:r w:rsidR="008503A4">
              <w:rPr>
                <w:sz w:val="22"/>
                <w:szCs w:val="22"/>
              </w:rPr>
              <w:t>attendance</w:t>
            </w:r>
            <w:r>
              <w:rPr>
                <w:sz w:val="22"/>
                <w:szCs w:val="22"/>
              </w:rPr>
              <w:t xml:space="preserve"> policy written in April 2022. This contains a</w:t>
            </w:r>
            <w:r w:rsidR="008503A4">
              <w:rPr>
                <w:sz w:val="22"/>
                <w:szCs w:val="22"/>
              </w:rPr>
              <w:t>n attendance</w:t>
            </w:r>
            <w:r w:rsidR="00087591">
              <w:rPr>
                <w:sz w:val="22"/>
                <w:szCs w:val="22"/>
              </w:rPr>
              <w:t xml:space="preserve"> flow chart for staff to fol</w:t>
            </w:r>
            <w:r w:rsidR="00307000">
              <w:rPr>
                <w:sz w:val="22"/>
                <w:szCs w:val="22"/>
              </w:rPr>
              <w:t>low ensuring d</w:t>
            </w:r>
            <w:r w:rsidR="002219BB">
              <w:rPr>
                <w:sz w:val="22"/>
                <w:szCs w:val="22"/>
              </w:rPr>
              <w:t xml:space="preserve">aily checks for absent pupils, </w:t>
            </w:r>
            <w:r w:rsidR="008E5FE6">
              <w:rPr>
                <w:sz w:val="22"/>
                <w:szCs w:val="22"/>
              </w:rPr>
              <w:t xml:space="preserve">monitoring procedures and </w:t>
            </w:r>
            <w:r w:rsidR="008503A4">
              <w:rPr>
                <w:sz w:val="22"/>
                <w:szCs w:val="22"/>
              </w:rPr>
              <w:t>letter proformas for each stage of absence.</w:t>
            </w:r>
          </w:p>
          <w:p w14:paraId="5518ECAD" w14:textId="77777777" w:rsidR="008503A4" w:rsidRDefault="008503A4" w:rsidP="00307000">
            <w:pPr>
              <w:pStyle w:val="TableRowCentered"/>
              <w:ind w:left="77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Regular check ins for key parents from HT</w:t>
            </w:r>
          </w:p>
          <w:p w14:paraId="763FAEED" w14:textId="4CC4520F" w:rsidR="008503A4" w:rsidRDefault="008503A4" w:rsidP="00307000">
            <w:pPr>
              <w:pStyle w:val="TableRowCentered"/>
              <w:ind w:left="77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Bespoke support packages in place for specific parents </w:t>
            </w:r>
            <w:r w:rsidR="008D6FCA">
              <w:rPr>
                <w:sz w:val="22"/>
                <w:szCs w:val="22"/>
              </w:rPr>
              <w:t>e.g.,</w:t>
            </w:r>
            <w:r>
              <w:rPr>
                <w:sz w:val="22"/>
                <w:szCs w:val="22"/>
              </w:rPr>
              <w:t xml:space="preserve"> EHAF support</w:t>
            </w:r>
          </w:p>
        </w:tc>
      </w:tr>
      <w:tr w:rsidR="009C471E" w14:paraId="7D377006" w14:textId="0426A33A" w:rsidTr="008503A4"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C5877" w14:textId="77777777" w:rsidR="009C471E" w:rsidRDefault="009C471E" w:rsidP="0070677F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Parents know how to support their child’s learning with confidence 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AA0B3" w14:textId="77777777" w:rsidR="009C471E" w:rsidRPr="00601BF7" w:rsidRDefault="009C471E" w:rsidP="009C471E">
            <w:pPr>
              <w:pStyle w:val="TableRowCentered"/>
              <w:numPr>
                <w:ilvl w:val="0"/>
                <w:numId w:val="3"/>
              </w:numPr>
              <w:jc w:val="left"/>
              <w:rPr>
                <w:sz w:val="22"/>
                <w:szCs w:val="22"/>
                <w:highlight w:val="green"/>
              </w:rPr>
            </w:pPr>
            <w:r w:rsidRPr="00601BF7">
              <w:rPr>
                <w:sz w:val="22"/>
                <w:szCs w:val="22"/>
                <w:highlight w:val="green"/>
              </w:rPr>
              <w:t>Improved attendance of PP parents at workshops</w:t>
            </w:r>
          </w:p>
          <w:p w14:paraId="5363DA34" w14:textId="77777777" w:rsidR="009C471E" w:rsidRPr="00601BF7" w:rsidRDefault="009C471E" w:rsidP="009C471E">
            <w:pPr>
              <w:pStyle w:val="TableRowCentered"/>
              <w:numPr>
                <w:ilvl w:val="0"/>
                <w:numId w:val="3"/>
              </w:numPr>
              <w:jc w:val="left"/>
              <w:rPr>
                <w:sz w:val="22"/>
                <w:szCs w:val="22"/>
                <w:highlight w:val="green"/>
              </w:rPr>
            </w:pPr>
            <w:r w:rsidRPr="00601BF7">
              <w:rPr>
                <w:sz w:val="22"/>
                <w:szCs w:val="22"/>
                <w:highlight w:val="green"/>
              </w:rPr>
              <w:t xml:space="preserve">Increase in active engagement of parents </w:t>
            </w:r>
          </w:p>
          <w:p w14:paraId="38B6DB4D" w14:textId="77777777" w:rsidR="009C471E" w:rsidRDefault="009C471E" w:rsidP="009C471E">
            <w:pPr>
              <w:pStyle w:val="TableRowCentered"/>
              <w:numPr>
                <w:ilvl w:val="0"/>
                <w:numId w:val="3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Every PP child reads at home a minimum of 4 times per week.</w:t>
            </w:r>
          </w:p>
          <w:p w14:paraId="5A07EDB7" w14:textId="77777777" w:rsidR="009C471E" w:rsidRDefault="009C471E" w:rsidP="009C471E">
            <w:pPr>
              <w:pStyle w:val="TableRowCentered"/>
              <w:numPr>
                <w:ilvl w:val="0"/>
                <w:numId w:val="3"/>
              </w:numPr>
              <w:jc w:val="left"/>
              <w:rPr>
                <w:sz w:val="22"/>
                <w:szCs w:val="22"/>
              </w:rPr>
            </w:pPr>
            <w:r w:rsidRPr="00601BF7">
              <w:rPr>
                <w:sz w:val="22"/>
                <w:szCs w:val="22"/>
                <w:highlight w:val="green"/>
              </w:rPr>
              <w:t>PP children are proud to share their work with parents. Where needed school promotes this.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825E0" w14:textId="77777777" w:rsidR="009C471E" w:rsidRDefault="00DC3CC3" w:rsidP="009C471E">
            <w:pPr>
              <w:pStyle w:val="TableRowCentered"/>
              <w:numPr>
                <w:ilvl w:val="0"/>
                <w:numId w:val="3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Approximately 63% of </w:t>
            </w:r>
            <w:r w:rsidR="002E13B3">
              <w:rPr>
                <w:sz w:val="22"/>
                <w:szCs w:val="22"/>
              </w:rPr>
              <w:t xml:space="preserve">PP parents </w:t>
            </w:r>
            <w:r w:rsidR="00B45927">
              <w:rPr>
                <w:sz w:val="22"/>
                <w:szCs w:val="22"/>
              </w:rPr>
              <w:t xml:space="preserve">attended our reading </w:t>
            </w:r>
            <w:r w:rsidR="00160DAE">
              <w:rPr>
                <w:sz w:val="22"/>
                <w:szCs w:val="22"/>
              </w:rPr>
              <w:t xml:space="preserve">and RSE </w:t>
            </w:r>
            <w:r w:rsidR="00B45927">
              <w:rPr>
                <w:sz w:val="22"/>
                <w:szCs w:val="22"/>
              </w:rPr>
              <w:t xml:space="preserve">workshops. Where PP parents did not attend, information was </w:t>
            </w:r>
            <w:r w:rsidR="00160DAE">
              <w:rPr>
                <w:sz w:val="22"/>
                <w:szCs w:val="22"/>
              </w:rPr>
              <w:t xml:space="preserve">passed on via Dojo. </w:t>
            </w:r>
          </w:p>
          <w:p w14:paraId="2FE0BAF1" w14:textId="0982371D" w:rsidR="002E13B3" w:rsidRDefault="00644595" w:rsidP="009C471E">
            <w:pPr>
              <w:pStyle w:val="TableRowCentered"/>
              <w:numPr>
                <w:ilvl w:val="0"/>
                <w:numId w:val="3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Approximately 95% of PP</w:t>
            </w:r>
            <w:r w:rsidR="00772DB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parents attended parents evening </w:t>
            </w:r>
            <w:r w:rsidR="00C869B7">
              <w:rPr>
                <w:sz w:val="22"/>
                <w:szCs w:val="22"/>
              </w:rPr>
              <w:t>appointments</w:t>
            </w:r>
            <w:r>
              <w:rPr>
                <w:sz w:val="22"/>
                <w:szCs w:val="22"/>
              </w:rPr>
              <w:t xml:space="preserve"> and class assemblies/productions. Where PP parents </w:t>
            </w:r>
            <w:r w:rsidR="00C869B7">
              <w:rPr>
                <w:sz w:val="22"/>
                <w:szCs w:val="22"/>
              </w:rPr>
              <w:t>couldn’t</w:t>
            </w:r>
            <w:r>
              <w:rPr>
                <w:sz w:val="22"/>
                <w:szCs w:val="22"/>
              </w:rPr>
              <w:t xml:space="preserve"> attend for </w:t>
            </w:r>
            <w:r w:rsidR="001D0566">
              <w:rPr>
                <w:sz w:val="22"/>
                <w:szCs w:val="22"/>
              </w:rPr>
              <w:t xml:space="preserve">mental or physical health reasons we videoed the </w:t>
            </w:r>
            <w:r w:rsidR="00C869B7">
              <w:rPr>
                <w:sz w:val="22"/>
                <w:szCs w:val="22"/>
              </w:rPr>
              <w:t>performances</w:t>
            </w:r>
            <w:r w:rsidR="001D0566">
              <w:rPr>
                <w:sz w:val="22"/>
                <w:szCs w:val="22"/>
              </w:rPr>
              <w:t xml:space="preserve"> or parents came at an alternative time. </w:t>
            </w:r>
          </w:p>
          <w:p w14:paraId="63891C83" w14:textId="1EEAE3C9" w:rsidR="00C16ECA" w:rsidRDefault="009C1739" w:rsidP="009C471E">
            <w:pPr>
              <w:pStyle w:val="TableRowCentered"/>
              <w:numPr>
                <w:ilvl w:val="0"/>
                <w:numId w:val="3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Monitoring</w:t>
            </w:r>
            <w:r w:rsidR="00DD6D3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by</w:t>
            </w:r>
            <w:r w:rsidR="00DD6D3F">
              <w:rPr>
                <w:sz w:val="22"/>
                <w:szCs w:val="22"/>
              </w:rPr>
              <w:t xml:space="preserve"> </w:t>
            </w:r>
            <w:r w:rsidR="00936C36">
              <w:rPr>
                <w:sz w:val="22"/>
                <w:szCs w:val="22"/>
              </w:rPr>
              <w:t xml:space="preserve">the reading lead in April 2022 </w:t>
            </w:r>
            <w:r>
              <w:rPr>
                <w:sz w:val="22"/>
                <w:szCs w:val="22"/>
              </w:rPr>
              <w:t>showed</w:t>
            </w:r>
            <w:r w:rsidR="00936C36">
              <w:rPr>
                <w:sz w:val="22"/>
                <w:szCs w:val="22"/>
              </w:rPr>
              <w:t xml:space="preserve"> an increase </w:t>
            </w:r>
            <w:r>
              <w:rPr>
                <w:sz w:val="22"/>
                <w:szCs w:val="22"/>
              </w:rPr>
              <w:t>i</w:t>
            </w:r>
            <w:r w:rsidR="00936C36">
              <w:rPr>
                <w:sz w:val="22"/>
                <w:szCs w:val="22"/>
              </w:rPr>
              <w:t>n the</w:t>
            </w:r>
            <w:r>
              <w:rPr>
                <w:sz w:val="22"/>
                <w:szCs w:val="22"/>
              </w:rPr>
              <w:t xml:space="preserve"> number</w:t>
            </w:r>
            <w:r w:rsidR="00936C36">
              <w:rPr>
                <w:sz w:val="22"/>
                <w:szCs w:val="22"/>
              </w:rPr>
              <w:t xml:space="preserve"> of parents writing in reading diaries</w:t>
            </w:r>
            <w:r w:rsidR="00D64833">
              <w:rPr>
                <w:sz w:val="22"/>
                <w:szCs w:val="22"/>
              </w:rPr>
              <w:t xml:space="preserve">, including PP parents. </w:t>
            </w:r>
            <w:r w:rsidR="00024C73">
              <w:rPr>
                <w:sz w:val="22"/>
                <w:szCs w:val="22"/>
              </w:rPr>
              <w:t>69% of PP parents regularly read at home with their child and record in reading diaries.</w:t>
            </w:r>
            <w:r w:rsidR="004A6E27">
              <w:rPr>
                <w:sz w:val="22"/>
                <w:szCs w:val="22"/>
              </w:rPr>
              <w:t xml:space="preserve"> </w:t>
            </w:r>
          </w:p>
          <w:p w14:paraId="5950958D" w14:textId="2CEF4FA7" w:rsidR="005F3965" w:rsidRDefault="005F3965" w:rsidP="009C471E">
            <w:pPr>
              <w:pStyle w:val="TableRowCentered"/>
              <w:numPr>
                <w:ilvl w:val="0"/>
                <w:numId w:val="3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Most PP children are </w:t>
            </w:r>
            <w:r w:rsidR="001B6E61">
              <w:rPr>
                <w:sz w:val="22"/>
                <w:szCs w:val="22"/>
              </w:rPr>
              <w:t>proud</w:t>
            </w:r>
            <w:r>
              <w:rPr>
                <w:sz w:val="22"/>
                <w:szCs w:val="22"/>
              </w:rPr>
              <w:t xml:space="preserve"> to share their work with the headteacher and as part of our ACE </w:t>
            </w:r>
            <w:r w:rsidR="001B6E61">
              <w:rPr>
                <w:sz w:val="22"/>
                <w:szCs w:val="22"/>
              </w:rPr>
              <w:t>assemblies</w:t>
            </w:r>
            <w:r>
              <w:rPr>
                <w:sz w:val="22"/>
                <w:szCs w:val="22"/>
              </w:rPr>
              <w:t xml:space="preserve">. </w:t>
            </w:r>
            <w:r w:rsidR="001A1242">
              <w:rPr>
                <w:sz w:val="22"/>
                <w:szCs w:val="22"/>
              </w:rPr>
              <w:t xml:space="preserve">Each week, class teachers </w:t>
            </w:r>
            <w:r w:rsidR="001B6E61">
              <w:rPr>
                <w:sz w:val="22"/>
                <w:szCs w:val="22"/>
              </w:rPr>
              <w:t>share work to parents via Dojo</w:t>
            </w:r>
            <w:r w:rsidR="00601BF7">
              <w:rPr>
                <w:sz w:val="22"/>
                <w:szCs w:val="22"/>
              </w:rPr>
              <w:t xml:space="preserve"> and monthly via our newsletter. </w:t>
            </w:r>
          </w:p>
        </w:tc>
      </w:tr>
      <w:tr w:rsidR="009C471E" w14:paraId="2BF331E4" w14:textId="038625E2" w:rsidTr="008503A4"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1A19F" w14:textId="77777777" w:rsidR="009C471E" w:rsidRDefault="009C471E" w:rsidP="0070677F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PP pupils are engaged in a wide range of experiences and activities beyond the classroom. 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0F4AF" w14:textId="221A8B68" w:rsidR="0081148D" w:rsidRPr="001C0182" w:rsidRDefault="009C471E" w:rsidP="0081148D">
            <w:pPr>
              <w:pStyle w:val="TableRowCentered"/>
              <w:numPr>
                <w:ilvl w:val="0"/>
                <w:numId w:val="4"/>
              </w:numPr>
              <w:jc w:val="left"/>
              <w:rPr>
                <w:sz w:val="22"/>
                <w:szCs w:val="22"/>
                <w:highlight w:val="green"/>
              </w:rPr>
            </w:pPr>
            <w:r w:rsidRPr="004D13A1">
              <w:rPr>
                <w:sz w:val="22"/>
                <w:szCs w:val="22"/>
                <w:highlight w:val="green"/>
              </w:rPr>
              <w:t xml:space="preserve">Improved engagement in a range of </w:t>
            </w:r>
            <w:r w:rsidRPr="001C0182">
              <w:rPr>
                <w:sz w:val="22"/>
                <w:szCs w:val="22"/>
                <w:highlight w:val="green"/>
              </w:rPr>
              <w:t xml:space="preserve">extracurricular activities and experiences. </w:t>
            </w:r>
          </w:p>
          <w:p w14:paraId="52CCE54A" w14:textId="157636AF" w:rsidR="009C471E" w:rsidRPr="001C0182" w:rsidRDefault="009C471E" w:rsidP="009C471E">
            <w:pPr>
              <w:pStyle w:val="TableRowCentered"/>
              <w:numPr>
                <w:ilvl w:val="0"/>
                <w:numId w:val="4"/>
              </w:numPr>
              <w:jc w:val="left"/>
              <w:rPr>
                <w:sz w:val="22"/>
                <w:szCs w:val="22"/>
                <w:highlight w:val="green"/>
              </w:rPr>
            </w:pPr>
            <w:r w:rsidRPr="001C0182">
              <w:rPr>
                <w:sz w:val="22"/>
                <w:szCs w:val="22"/>
                <w:highlight w:val="green"/>
              </w:rPr>
              <w:t>PP children positively engage with enrichment activities (arts, music and PE)</w:t>
            </w:r>
          </w:p>
          <w:p w14:paraId="731CA486" w14:textId="7A7AD5D2" w:rsidR="0081148D" w:rsidRDefault="0081148D" w:rsidP="0081148D">
            <w:pPr>
              <w:pStyle w:val="TableRowCentered"/>
              <w:ind w:left="777"/>
              <w:jc w:val="left"/>
              <w:rPr>
                <w:sz w:val="22"/>
                <w:szCs w:val="22"/>
              </w:rPr>
            </w:pPr>
          </w:p>
          <w:p w14:paraId="5569E601" w14:textId="5AA992FF" w:rsidR="00BE5C7D" w:rsidRDefault="00BE5C7D" w:rsidP="0081148D">
            <w:pPr>
              <w:pStyle w:val="TableRowCentered"/>
              <w:ind w:left="777"/>
              <w:jc w:val="left"/>
              <w:rPr>
                <w:sz w:val="22"/>
                <w:szCs w:val="22"/>
              </w:rPr>
            </w:pPr>
          </w:p>
          <w:p w14:paraId="36792A49" w14:textId="77777777" w:rsidR="00BE5C7D" w:rsidRDefault="00BE5C7D" w:rsidP="0081148D">
            <w:pPr>
              <w:pStyle w:val="TableRowCentered"/>
              <w:ind w:left="777"/>
              <w:jc w:val="left"/>
              <w:rPr>
                <w:sz w:val="22"/>
                <w:szCs w:val="22"/>
              </w:rPr>
            </w:pPr>
          </w:p>
          <w:p w14:paraId="198523D3" w14:textId="615810B4" w:rsidR="009C471E" w:rsidRPr="001C0182" w:rsidRDefault="009C471E" w:rsidP="009C471E">
            <w:pPr>
              <w:pStyle w:val="TableRowCentered"/>
              <w:numPr>
                <w:ilvl w:val="0"/>
                <w:numId w:val="4"/>
              </w:numPr>
              <w:jc w:val="left"/>
              <w:rPr>
                <w:sz w:val="22"/>
                <w:szCs w:val="22"/>
                <w:highlight w:val="green"/>
              </w:rPr>
            </w:pPr>
            <w:r w:rsidRPr="001C0182">
              <w:rPr>
                <w:sz w:val="22"/>
                <w:szCs w:val="22"/>
                <w:highlight w:val="green"/>
              </w:rPr>
              <w:t xml:space="preserve">A percentage of PP children participate in competitive sports events. </w:t>
            </w:r>
          </w:p>
          <w:p w14:paraId="0A85AF99" w14:textId="45AE2AC4" w:rsidR="00BE5C7D" w:rsidRDefault="00BE5C7D" w:rsidP="00BE5C7D">
            <w:pPr>
              <w:pStyle w:val="TableRowCentered"/>
              <w:jc w:val="left"/>
              <w:rPr>
                <w:sz w:val="22"/>
                <w:szCs w:val="22"/>
              </w:rPr>
            </w:pPr>
          </w:p>
          <w:p w14:paraId="45AB8528" w14:textId="60203535" w:rsidR="00BE5C7D" w:rsidRDefault="00BE5C7D" w:rsidP="00BE5C7D">
            <w:pPr>
              <w:pStyle w:val="TableRowCentered"/>
              <w:jc w:val="left"/>
              <w:rPr>
                <w:sz w:val="22"/>
                <w:szCs w:val="22"/>
              </w:rPr>
            </w:pPr>
          </w:p>
          <w:p w14:paraId="4EA61EC0" w14:textId="55F68630" w:rsidR="00BE5C7D" w:rsidRDefault="00BE5C7D" w:rsidP="00BE5C7D">
            <w:pPr>
              <w:pStyle w:val="TableRowCentered"/>
              <w:jc w:val="left"/>
              <w:rPr>
                <w:sz w:val="22"/>
                <w:szCs w:val="22"/>
              </w:rPr>
            </w:pPr>
          </w:p>
          <w:p w14:paraId="6D86C27E" w14:textId="65E03A8E" w:rsidR="00BE5C7D" w:rsidRDefault="00BE5C7D" w:rsidP="00BE5C7D">
            <w:pPr>
              <w:pStyle w:val="TableRowCentered"/>
              <w:jc w:val="left"/>
              <w:rPr>
                <w:sz w:val="22"/>
                <w:szCs w:val="22"/>
              </w:rPr>
            </w:pPr>
          </w:p>
          <w:p w14:paraId="6633513F" w14:textId="59C0BACC" w:rsidR="00BE5C7D" w:rsidRDefault="00BE5C7D" w:rsidP="00BE5C7D">
            <w:pPr>
              <w:pStyle w:val="TableRowCentered"/>
              <w:jc w:val="left"/>
              <w:rPr>
                <w:sz w:val="22"/>
                <w:szCs w:val="22"/>
              </w:rPr>
            </w:pPr>
          </w:p>
          <w:p w14:paraId="51CB06F0" w14:textId="77777777" w:rsidR="00BE5C7D" w:rsidRDefault="00BE5C7D" w:rsidP="00BE5C7D">
            <w:pPr>
              <w:pStyle w:val="TableRowCentered"/>
              <w:jc w:val="left"/>
              <w:rPr>
                <w:sz w:val="22"/>
                <w:szCs w:val="22"/>
              </w:rPr>
            </w:pPr>
          </w:p>
          <w:p w14:paraId="23BC0443" w14:textId="77777777" w:rsidR="009C471E" w:rsidRPr="001C0182" w:rsidRDefault="009C471E" w:rsidP="009C471E">
            <w:pPr>
              <w:pStyle w:val="TableRowCentered"/>
              <w:numPr>
                <w:ilvl w:val="0"/>
                <w:numId w:val="4"/>
              </w:numPr>
              <w:jc w:val="left"/>
              <w:rPr>
                <w:sz w:val="22"/>
                <w:szCs w:val="22"/>
                <w:highlight w:val="green"/>
              </w:rPr>
            </w:pPr>
            <w:r w:rsidRPr="001C0182">
              <w:rPr>
                <w:sz w:val="22"/>
                <w:szCs w:val="22"/>
                <w:highlight w:val="green"/>
              </w:rPr>
              <w:t xml:space="preserve">PP pupils feel encouraged to take lead roles in school productions. </w:t>
            </w:r>
          </w:p>
          <w:p w14:paraId="7EFC3110" w14:textId="77777777" w:rsidR="009C471E" w:rsidRDefault="009C471E" w:rsidP="009C471E">
            <w:pPr>
              <w:pStyle w:val="TableRowCentered"/>
              <w:numPr>
                <w:ilvl w:val="0"/>
                <w:numId w:val="4"/>
              </w:numPr>
              <w:jc w:val="left"/>
              <w:rPr>
                <w:sz w:val="22"/>
                <w:szCs w:val="22"/>
              </w:rPr>
            </w:pPr>
            <w:r w:rsidRPr="001C0182">
              <w:rPr>
                <w:sz w:val="22"/>
                <w:szCs w:val="22"/>
                <w:highlight w:val="green"/>
              </w:rPr>
              <w:t>PP children participate in residential visits.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BAEF" w14:textId="77777777" w:rsidR="009C471E" w:rsidRDefault="004D13A1" w:rsidP="009C471E">
            <w:pPr>
              <w:pStyle w:val="TableRowCentered"/>
              <w:numPr>
                <w:ilvl w:val="0"/>
                <w:numId w:val="4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85% of our Pupil Premium children accessed at least one after school activity this academic year (there are a range of clubs on offer from sport to </w:t>
            </w:r>
            <w:r w:rsidR="0081148D">
              <w:rPr>
                <w:sz w:val="22"/>
                <w:szCs w:val="22"/>
              </w:rPr>
              <w:t xml:space="preserve">arts/gardening etc) </w:t>
            </w:r>
          </w:p>
          <w:p w14:paraId="4F4248BA" w14:textId="77777777" w:rsidR="0081148D" w:rsidRDefault="0081148D" w:rsidP="009C471E">
            <w:pPr>
              <w:pStyle w:val="TableRowCentered"/>
              <w:numPr>
                <w:ilvl w:val="0"/>
                <w:numId w:val="4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All PP children </w:t>
            </w:r>
            <w:r w:rsidR="00C34AD2">
              <w:rPr>
                <w:sz w:val="22"/>
                <w:szCs w:val="22"/>
              </w:rPr>
              <w:t xml:space="preserve">in KS2 </w:t>
            </w:r>
            <w:r>
              <w:rPr>
                <w:sz w:val="22"/>
                <w:szCs w:val="22"/>
              </w:rPr>
              <w:t xml:space="preserve">received Samba drumming session weekly for the duration of the year. </w:t>
            </w:r>
            <w:r w:rsidR="00C34AD2">
              <w:rPr>
                <w:sz w:val="22"/>
                <w:szCs w:val="22"/>
              </w:rPr>
              <w:t xml:space="preserve">We held a celebration assembly at the end of the school year that parents attended. </w:t>
            </w:r>
          </w:p>
          <w:p w14:paraId="7D18FCD5" w14:textId="77777777" w:rsidR="00644A74" w:rsidRDefault="001F61CC" w:rsidP="009C471E">
            <w:pPr>
              <w:pStyle w:val="TableRowCentered"/>
              <w:numPr>
                <w:ilvl w:val="0"/>
                <w:numId w:val="4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District sports competition – 18% of the team were PP pupils</w:t>
            </w:r>
          </w:p>
          <w:p w14:paraId="7655A00D" w14:textId="6D9603E5" w:rsidR="00D178E1" w:rsidRDefault="00D178E1" w:rsidP="00D178E1">
            <w:pPr>
              <w:pStyle w:val="TableRowCentered"/>
              <w:ind w:left="77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Girls football tournament – 22% of the team were PP </w:t>
            </w:r>
            <w:r w:rsidR="00833AE3">
              <w:rPr>
                <w:sz w:val="22"/>
                <w:szCs w:val="22"/>
              </w:rPr>
              <w:t>pupils</w:t>
            </w:r>
          </w:p>
          <w:p w14:paraId="05720922" w14:textId="76668C1C" w:rsidR="00833AE3" w:rsidRDefault="00833AE3" w:rsidP="00833AE3">
            <w:pPr>
              <w:pStyle w:val="TableRowCentered"/>
              <w:ind w:left="77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Boys football tournament – 22% of the team were PP pupils</w:t>
            </w:r>
          </w:p>
          <w:p w14:paraId="1C5E71BC" w14:textId="74D6156D" w:rsidR="000E1F80" w:rsidRDefault="00F81EE5" w:rsidP="000E1F80">
            <w:pPr>
              <w:pStyle w:val="TableRowCentered"/>
              <w:ind w:left="77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Cross Country Competition</w:t>
            </w:r>
            <w:r w:rsidR="000E1F80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12.5</w:t>
            </w:r>
            <w:r w:rsidR="000E1F80">
              <w:rPr>
                <w:sz w:val="22"/>
                <w:szCs w:val="22"/>
              </w:rPr>
              <w:t>% of the team were PP pupils</w:t>
            </w:r>
          </w:p>
          <w:p w14:paraId="5400FA8C" w14:textId="28F54072" w:rsidR="00BE5C7D" w:rsidRDefault="001825E1" w:rsidP="00BE5C7D">
            <w:pPr>
              <w:pStyle w:val="TableRowCentered"/>
              <w:numPr>
                <w:ilvl w:val="0"/>
                <w:numId w:val="4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the year 6 production</w:t>
            </w:r>
            <w:r w:rsidR="00B06EC9">
              <w:rPr>
                <w:sz w:val="22"/>
                <w:szCs w:val="22"/>
              </w:rPr>
              <w:t xml:space="preserve">, all 6 of our Year 6 PP children took on a role in the end of year production. </w:t>
            </w:r>
            <w:r w:rsidR="004D749D">
              <w:rPr>
                <w:sz w:val="22"/>
                <w:szCs w:val="22"/>
              </w:rPr>
              <w:t xml:space="preserve">3 of these children had a lead role. </w:t>
            </w:r>
          </w:p>
          <w:p w14:paraId="63B62789" w14:textId="63F69B7C" w:rsidR="004D749D" w:rsidRDefault="004D749D" w:rsidP="00BE5C7D">
            <w:pPr>
              <w:pStyle w:val="TableRowCentered"/>
              <w:numPr>
                <w:ilvl w:val="0"/>
                <w:numId w:val="4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All PP children in year 6 </w:t>
            </w:r>
            <w:r w:rsidR="001C0182">
              <w:rPr>
                <w:sz w:val="22"/>
                <w:szCs w:val="22"/>
              </w:rPr>
              <w:t>attended</w:t>
            </w:r>
            <w:r>
              <w:rPr>
                <w:sz w:val="22"/>
                <w:szCs w:val="22"/>
              </w:rPr>
              <w:t xml:space="preserve"> the </w:t>
            </w:r>
            <w:r w:rsidR="001C0182">
              <w:rPr>
                <w:sz w:val="22"/>
                <w:szCs w:val="22"/>
              </w:rPr>
              <w:t>week long residential visit in June 2022.</w:t>
            </w:r>
          </w:p>
          <w:p w14:paraId="4C67F28B" w14:textId="656888D1" w:rsidR="00D178E1" w:rsidRDefault="00D178E1" w:rsidP="00D178E1">
            <w:pPr>
              <w:pStyle w:val="TableRowCentered"/>
              <w:ind w:left="777"/>
              <w:jc w:val="left"/>
              <w:rPr>
                <w:sz w:val="22"/>
                <w:szCs w:val="22"/>
              </w:rPr>
            </w:pPr>
          </w:p>
        </w:tc>
      </w:tr>
      <w:tr w:rsidR="009C471E" w14:paraId="3A7AF26E" w14:textId="4AD0951D" w:rsidTr="008503A4"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DD411" w14:textId="77777777" w:rsidR="009C471E" w:rsidRDefault="009C471E" w:rsidP="0070677F">
            <w:pPr>
              <w:pStyle w:val="TableRow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70% of non-SEN PP children achieve expected standard for their year group. 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D5AA8" w14:textId="77777777" w:rsidR="009C471E" w:rsidRPr="00280CCA" w:rsidRDefault="009C471E" w:rsidP="009C471E">
            <w:pPr>
              <w:pStyle w:val="TableRowCentered"/>
              <w:numPr>
                <w:ilvl w:val="0"/>
                <w:numId w:val="5"/>
              </w:numPr>
              <w:jc w:val="left"/>
              <w:rPr>
                <w:sz w:val="22"/>
                <w:szCs w:val="22"/>
                <w:highlight w:val="green"/>
              </w:rPr>
            </w:pPr>
            <w:r w:rsidRPr="00280CCA">
              <w:rPr>
                <w:sz w:val="22"/>
                <w:szCs w:val="22"/>
                <w:highlight w:val="green"/>
              </w:rPr>
              <w:t>Pupils attainment is improved</w:t>
            </w:r>
          </w:p>
          <w:p w14:paraId="3C9BA7A3" w14:textId="77777777" w:rsidR="009C471E" w:rsidRPr="005D4F88" w:rsidRDefault="009C471E" w:rsidP="009C471E">
            <w:pPr>
              <w:pStyle w:val="TableRowCentered"/>
              <w:numPr>
                <w:ilvl w:val="0"/>
                <w:numId w:val="5"/>
              </w:numPr>
              <w:jc w:val="left"/>
              <w:rPr>
                <w:sz w:val="22"/>
                <w:szCs w:val="22"/>
              </w:rPr>
            </w:pPr>
            <w:r w:rsidRPr="00280CCA">
              <w:rPr>
                <w:sz w:val="22"/>
                <w:szCs w:val="22"/>
                <w:highlight w:val="green"/>
              </w:rPr>
              <w:t>The gap between non PP and PP children is reduced.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4388A" w14:textId="3EFB68B0" w:rsidR="00AA4FD4" w:rsidRDefault="00280CCA" w:rsidP="00B404E4">
            <w:pPr>
              <w:pStyle w:val="TableRowCentered"/>
              <w:numPr>
                <w:ilvl w:val="0"/>
                <w:numId w:val="5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70.5% of non-SEN PP children achieve expected standard for their year group in R, W,M. </w:t>
            </w:r>
          </w:p>
          <w:p w14:paraId="44938F1C" w14:textId="4F407E25" w:rsidR="006E4760" w:rsidRPr="00C21CC5" w:rsidRDefault="006E4760" w:rsidP="00B404E4">
            <w:pPr>
              <w:pStyle w:val="TableRowCentered"/>
              <w:numPr>
                <w:ilvl w:val="0"/>
                <w:numId w:val="5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Attainment at end of KS1 and KS2</w:t>
            </w:r>
          </w:p>
          <w:tbl>
            <w:tblPr>
              <w:tblW w:w="445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6"/>
              <w:gridCol w:w="688"/>
              <w:gridCol w:w="610"/>
              <w:gridCol w:w="604"/>
              <w:gridCol w:w="615"/>
              <w:gridCol w:w="655"/>
              <w:gridCol w:w="700"/>
            </w:tblGrid>
            <w:tr w:rsidR="002F426A" w14:paraId="551E8D5B" w14:textId="77777777" w:rsidTr="00952EE2">
              <w:trPr>
                <w:trHeight w:val="606"/>
              </w:trPr>
              <w:tc>
                <w:tcPr>
                  <w:tcW w:w="5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51B1E5D" w14:textId="77777777" w:rsidR="002F426A" w:rsidRDefault="002F426A" w:rsidP="002F426A">
                  <w:pPr>
                    <w:widowControl w:val="0"/>
                    <w:spacing w:after="0"/>
                    <w:rPr>
                      <w:rFonts w:ascii="Calibri" w:hAnsi="Calibri" w:cs="Calibri"/>
                      <w:color w:val="000000"/>
                      <w:kern w:val="28"/>
                      <w:sz w:val="16"/>
                      <w:szCs w:val="16"/>
                      <w14:cntxtAlts/>
                    </w:rPr>
                  </w:pPr>
                  <w:r>
                    <w:rPr>
                      <w:sz w:val="16"/>
                      <w:szCs w:val="16"/>
                    </w:rPr>
                    <w:t>% Exp+</w:t>
                  </w:r>
                </w:p>
              </w:tc>
              <w:tc>
                <w:tcPr>
                  <w:tcW w:w="129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C68AB0F" w14:textId="77777777" w:rsidR="002F426A" w:rsidRDefault="002F426A" w:rsidP="002F426A">
                  <w:pPr>
                    <w:widowControl w:val="0"/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Reading </w:t>
                  </w:r>
                </w:p>
              </w:tc>
              <w:tc>
                <w:tcPr>
                  <w:tcW w:w="12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67706B0" w14:textId="77777777" w:rsidR="002F426A" w:rsidRDefault="002F426A" w:rsidP="002F426A">
                  <w:pPr>
                    <w:widowControl w:val="0"/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Writing </w:t>
                  </w:r>
                </w:p>
              </w:tc>
              <w:tc>
                <w:tcPr>
                  <w:tcW w:w="135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F48562B" w14:textId="77777777" w:rsidR="002F426A" w:rsidRDefault="002F426A" w:rsidP="002F426A">
                  <w:pPr>
                    <w:widowControl w:val="0"/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Maths </w:t>
                  </w:r>
                </w:p>
              </w:tc>
            </w:tr>
            <w:tr w:rsidR="002F426A" w14:paraId="411F751F" w14:textId="77777777" w:rsidTr="00952EE2">
              <w:trPr>
                <w:trHeight w:val="420"/>
              </w:trPr>
              <w:tc>
                <w:tcPr>
                  <w:tcW w:w="5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021BED1" w14:textId="77777777" w:rsidR="002F426A" w:rsidRDefault="002F426A" w:rsidP="002F426A">
                  <w:pPr>
                    <w:widowControl w:val="0"/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KS1</w:t>
                  </w:r>
                </w:p>
              </w:tc>
              <w:tc>
                <w:tcPr>
                  <w:tcW w:w="6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A21AD5" w14:textId="77777777" w:rsidR="002F426A" w:rsidRDefault="002F426A" w:rsidP="002F426A">
                  <w:pPr>
                    <w:widowControl w:val="0"/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2021</w:t>
                  </w:r>
                </w:p>
              </w:tc>
              <w:tc>
                <w:tcPr>
                  <w:tcW w:w="6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AEC6573" w14:textId="77777777" w:rsidR="002F426A" w:rsidRDefault="002F426A" w:rsidP="002F426A">
                  <w:pPr>
                    <w:widowControl w:val="0"/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2022</w:t>
                  </w:r>
                </w:p>
              </w:tc>
              <w:tc>
                <w:tcPr>
                  <w:tcW w:w="6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FCC139" w14:textId="77777777" w:rsidR="002F426A" w:rsidRDefault="002F426A" w:rsidP="002F426A">
                  <w:pPr>
                    <w:widowControl w:val="0"/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2021</w:t>
                  </w:r>
                </w:p>
              </w:tc>
              <w:tc>
                <w:tcPr>
                  <w:tcW w:w="6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8D7662" w14:textId="77777777" w:rsidR="002F426A" w:rsidRDefault="002F426A" w:rsidP="002F426A">
                  <w:pPr>
                    <w:widowControl w:val="0"/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2022</w:t>
                  </w:r>
                </w:p>
              </w:tc>
              <w:tc>
                <w:tcPr>
                  <w:tcW w:w="6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E035CCD" w14:textId="77777777" w:rsidR="002F426A" w:rsidRDefault="002F426A" w:rsidP="002F426A">
                  <w:pPr>
                    <w:widowControl w:val="0"/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2021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20BFE17" w14:textId="77777777" w:rsidR="002F426A" w:rsidRDefault="002F426A" w:rsidP="002F426A">
                  <w:pPr>
                    <w:widowControl w:val="0"/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2022</w:t>
                  </w:r>
                </w:p>
              </w:tc>
            </w:tr>
            <w:tr w:rsidR="002F426A" w14:paraId="46AE5784" w14:textId="77777777" w:rsidTr="00952EE2">
              <w:trPr>
                <w:trHeight w:val="411"/>
              </w:trPr>
              <w:tc>
                <w:tcPr>
                  <w:tcW w:w="5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EDD0C03" w14:textId="77777777" w:rsidR="002F426A" w:rsidRDefault="002F426A" w:rsidP="002F426A">
                  <w:pPr>
                    <w:widowControl w:val="0"/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PP</w:t>
                  </w:r>
                </w:p>
              </w:tc>
              <w:tc>
                <w:tcPr>
                  <w:tcW w:w="6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22C28E" w14:textId="77777777" w:rsidR="002F426A" w:rsidRDefault="002F426A" w:rsidP="002F426A">
                  <w:pPr>
                    <w:widowControl w:val="0"/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61.6%</w:t>
                  </w:r>
                </w:p>
              </w:tc>
              <w:tc>
                <w:tcPr>
                  <w:tcW w:w="6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8E97FB" w14:textId="77777777" w:rsidR="002F426A" w:rsidRDefault="002F426A" w:rsidP="002F426A">
                  <w:pPr>
                    <w:widowControl w:val="0"/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75%</w:t>
                  </w:r>
                </w:p>
              </w:tc>
              <w:tc>
                <w:tcPr>
                  <w:tcW w:w="6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2693C39" w14:textId="77777777" w:rsidR="002F426A" w:rsidRDefault="002F426A" w:rsidP="002F426A">
                  <w:pPr>
                    <w:widowControl w:val="0"/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20%</w:t>
                  </w:r>
                </w:p>
              </w:tc>
              <w:tc>
                <w:tcPr>
                  <w:tcW w:w="6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38077D" w14:textId="77777777" w:rsidR="002F426A" w:rsidRDefault="002F426A" w:rsidP="002F426A">
                  <w:pPr>
                    <w:widowControl w:val="0"/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50%</w:t>
                  </w:r>
                </w:p>
              </w:tc>
              <w:tc>
                <w:tcPr>
                  <w:tcW w:w="6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2840367" w14:textId="77777777" w:rsidR="002F426A" w:rsidRDefault="002F426A" w:rsidP="002F426A">
                  <w:pPr>
                    <w:widowControl w:val="0"/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80%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D8371B7" w14:textId="77777777" w:rsidR="002F426A" w:rsidRDefault="002F426A" w:rsidP="002F426A">
                  <w:pPr>
                    <w:widowControl w:val="0"/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75%</w:t>
                  </w:r>
                </w:p>
              </w:tc>
            </w:tr>
            <w:tr w:rsidR="002F426A" w14:paraId="31CE9FAD" w14:textId="77777777" w:rsidTr="00952EE2">
              <w:trPr>
                <w:trHeight w:val="457"/>
              </w:trPr>
              <w:tc>
                <w:tcPr>
                  <w:tcW w:w="5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603B38" w14:textId="77777777" w:rsidR="002F426A" w:rsidRDefault="002F426A" w:rsidP="002F426A">
                  <w:pPr>
                    <w:widowControl w:val="0"/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Non-PP</w:t>
                  </w:r>
                </w:p>
              </w:tc>
              <w:tc>
                <w:tcPr>
                  <w:tcW w:w="6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CCAC22" w14:textId="77777777" w:rsidR="002F426A" w:rsidRDefault="002F426A" w:rsidP="002F426A">
                  <w:pPr>
                    <w:widowControl w:val="0"/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73%</w:t>
                  </w:r>
                </w:p>
              </w:tc>
              <w:tc>
                <w:tcPr>
                  <w:tcW w:w="6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5F4778F" w14:textId="77777777" w:rsidR="002F426A" w:rsidRDefault="002F426A" w:rsidP="002F426A">
                  <w:pPr>
                    <w:widowControl w:val="0"/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84%</w:t>
                  </w:r>
                </w:p>
              </w:tc>
              <w:tc>
                <w:tcPr>
                  <w:tcW w:w="6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E9B6F4F" w14:textId="77777777" w:rsidR="002F426A" w:rsidRDefault="002F426A" w:rsidP="002F426A">
                  <w:pPr>
                    <w:widowControl w:val="0"/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43%</w:t>
                  </w:r>
                </w:p>
              </w:tc>
              <w:tc>
                <w:tcPr>
                  <w:tcW w:w="6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C09F2AF" w14:textId="77777777" w:rsidR="002F426A" w:rsidRDefault="002F426A" w:rsidP="002F426A">
                  <w:pPr>
                    <w:widowControl w:val="0"/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76%</w:t>
                  </w:r>
                </w:p>
              </w:tc>
              <w:tc>
                <w:tcPr>
                  <w:tcW w:w="6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4AFD3E7" w14:textId="77777777" w:rsidR="002F426A" w:rsidRDefault="002F426A" w:rsidP="002F426A">
                  <w:pPr>
                    <w:widowControl w:val="0"/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70%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86124D4" w14:textId="77777777" w:rsidR="002F426A" w:rsidRDefault="002F426A" w:rsidP="002F426A">
                  <w:pPr>
                    <w:widowControl w:val="0"/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88%</w:t>
                  </w:r>
                </w:p>
              </w:tc>
            </w:tr>
          </w:tbl>
          <w:p w14:paraId="4ABEC113" w14:textId="60436FB4" w:rsidR="00C41050" w:rsidRDefault="00C41050" w:rsidP="00B404E4">
            <w:pPr>
              <w:pStyle w:val="TableRowCentered"/>
              <w:jc w:val="left"/>
              <w:rPr>
                <w:sz w:val="22"/>
                <w:szCs w:val="22"/>
              </w:rPr>
            </w:pPr>
          </w:p>
          <w:tbl>
            <w:tblPr>
              <w:tblW w:w="453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6"/>
              <w:gridCol w:w="683"/>
              <w:gridCol w:w="626"/>
              <w:gridCol w:w="603"/>
              <w:gridCol w:w="614"/>
              <w:gridCol w:w="636"/>
              <w:gridCol w:w="788"/>
            </w:tblGrid>
            <w:tr w:rsidR="00255ED6" w14:paraId="259B7B37" w14:textId="77777777" w:rsidTr="00952EE2">
              <w:trPr>
                <w:trHeight w:val="564"/>
              </w:trPr>
              <w:tc>
                <w:tcPr>
                  <w:tcW w:w="5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CBB9367" w14:textId="77777777" w:rsidR="00255ED6" w:rsidRDefault="00255ED6" w:rsidP="00255ED6">
                  <w:pPr>
                    <w:widowControl w:val="0"/>
                    <w:spacing w:after="0"/>
                    <w:rPr>
                      <w:rFonts w:ascii="Calibri" w:hAnsi="Calibri" w:cs="Calibri"/>
                      <w:color w:val="000000"/>
                      <w:kern w:val="28"/>
                      <w:sz w:val="16"/>
                      <w:szCs w:val="16"/>
                      <w14:cntxtAlts/>
                    </w:rPr>
                  </w:pPr>
                  <w:r>
                    <w:rPr>
                      <w:sz w:val="16"/>
                      <w:szCs w:val="16"/>
                    </w:rPr>
                    <w:lastRenderedPageBreak/>
                    <w:t>% Exp+</w:t>
                  </w:r>
                </w:p>
              </w:tc>
              <w:tc>
                <w:tcPr>
                  <w:tcW w:w="129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3129DE7" w14:textId="77777777" w:rsidR="00255ED6" w:rsidRDefault="00255ED6" w:rsidP="00255ED6">
                  <w:pPr>
                    <w:widowControl w:val="0"/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Reading </w:t>
                  </w:r>
                </w:p>
              </w:tc>
              <w:tc>
                <w:tcPr>
                  <w:tcW w:w="12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C406555" w14:textId="77777777" w:rsidR="00255ED6" w:rsidRDefault="00255ED6" w:rsidP="00255ED6">
                  <w:pPr>
                    <w:widowControl w:val="0"/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Writing 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D7C537A" w14:textId="77777777" w:rsidR="00255ED6" w:rsidRDefault="00255ED6" w:rsidP="00255ED6">
                  <w:pPr>
                    <w:widowControl w:val="0"/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Maths </w:t>
                  </w:r>
                </w:p>
              </w:tc>
            </w:tr>
            <w:tr w:rsidR="00255ED6" w14:paraId="5E26AD15" w14:textId="77777777" w:rsidTr="00952EE2">
              <w:trPr>
                <w:trHeight w:val="371"/>
              </w:trPr>
              <w:tc>
                <w:tcPr>
                  <w:tcW w:w="5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D2A540" w14:textId="77777777" w:rsidR="00255ED6" w:rsidRDefault="00255ED6" w:rsidP="00255ED6">
                  <w:pPr>
                    <w:widowControl w:val="0"/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KS2</w:t>
                  </w:r>
                </w:p>
              </w:tc>
              <w:tc>
                <w:tcPr>
                  <w:tcW w:w="6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41A71E7" w14:textId="77777777" w:rsidR="00255ED6" w:rsidRDefault="00255ED6" w:rsidP="00255ED6">
                  <w:pPr>
                    <w:widowControl w:val="0"/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2021</w:t>
                  </w:r>
                </w:p>
              </w:tc>
              <w:tc>
                <w:tcPr>
                  <w:tcW w:w="6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59062BE" w14:textId="77777777" w:rsidR="00255ED6" w:rsidRDefault="00255ED6" w:rsidP="00255ED6">
                  <w:pPr>
                    <w:widowControl w:val="0"/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2022</w:t>
                  </w:r>
                </w:p>
              </w:tc>
              <w:tc>
                <w:tcPr>
                  <w:tcW w:w="6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F28D2DD" w14:textId="77777777" w:rsidR="00255ED6" w:rsidRDefault="00255ED6" w:rsidP="00255ED6">
                  <w:pPr>
                    <w:widowControl w:val="0"/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2021</w:t>
                  </w:r>
                </w:p>
              </w:tc>
              <w:tc>
                <w:tcPr>
                  <w:tcW w:w="6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C2E38D5" w14:textId="77777777" w:rsidR="00255ED6" w:rsidRDefault="00255ED6" w:rsidP="00255ED6">
                  <w:pPr>
                    <w:widowControl w:val="0"/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2022</w:t>
                  </w:r>
                </w:p>
              </w:tc>
              <w:tc>
                <w:tcPr>
                  <w:tcW w:w="6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4472756" w14:textId="77777777" w:rsidR="00255ED6" w:rsidRDefault="00255ED6" w:rsidP="00255ED6">
                  <w:pPr>
                    <w:widowControl w:val="0"/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2021</w:t>
                  </w:r>
                </w:p>
              </w:tc>
              <w:tc>
                <w:tcPr>
                  <w:tcW w:w="7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BCCD8E" w14:textId="77777777" w:rsidR="00255ED6" w:rsidRDefault="00255ED6" w:rsidP="00255ED6">
                  <w:pPr>
                    <w:widowControl w:val="0"/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2022</w:t>
                  </w:r>
                </w:p>
              </w:tc>
            </w:tr>
            <w:tr w:rsidR="00255ED6" w14:paraId="4BE41E60" w14:textId="77777777" w:rsidTr="00952EE2">
              <w:trPr>
                <w:trHeight w:val="411"/>
              </w:trPr>
              <w:tc>
                <w:tcPr>
                  <w:tcW w:w="5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CCAD912" w14:textId="77777777" w:rsidR="00255ED6" w:rsidRDefault="00255ED6" w:rsidP="00255ED6">
                  <w:pPr>
                    <w:widowControl w:val="0"/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PP</w:t>
                  </w:r>
                </w:p>
              </w:tc>
              <w:tc>
                <w:tcPr>
                  <w:tcW w:w="6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CF6443B" w14:textId="77777777" w:rsidR="00255ED6" w:rsidRDefault="00255ED6" w:rsidP="00255ED6">
                  <w:pPr>
                    <w:widowControl w:val="0"/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80%</w:t>
                  </w:r>
                </w:p>
              </w:tc>
              <w:tc>
                <w:tcPr>
                  <w:tcW w:w="6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EA46A37" w14:textId="77777777" w:rsidR="00255ED6" w:rsidRDefault="00255ED6" w:rsidP="00255ED6">
                  <w:pPr>
                    <w:widowControl w:val="0"/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100%</w:t>
                  </w:r>
                </w:p>
              </w:tc>
              <w:tc>
                <w:tcPr>
                  <w:tcW w:w="6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48BB791" w14:textId="77777777" w:rsidR="00255ED6" w:rsidRDefault="00255ED6" w:rsidP="00255ED6">
                  <w:pPr>
                    <w:widowControl w:val="0"/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40%</w:t>
                  </w:r>
                </w:p>
              </w:tc>
              <w:tc>
                <w:tcPr>
                  <w:tcW w:w="6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F0E0B9E" w14:textId="77777777" w:rsidR="00255ED6" w:rsidRDefault="00255ED6" w:rsidP="00255ED6">
                  <w:pPr>
                    <w:widowControl w:val="0"/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80%</w:t>
                  </w:r>
                </w:p>
              </w:tc>
              <w:tc>
                <w:tcPr>
                  <w:tcW w:w="6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E0935B" w14:textId="77777777" w:rsidR="00255ED6" w:rsidRDefault="00255ED6" w:rsidP="00255ED6">
                  <w:pPr>
                    <w:widowControl w:val="0"/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60%</w:t>
                  </w:r>
                </w:p>
              </w:tc>
              <w:tc>
                <w:tcPr>
                  <w:tcW w:w="7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A81AD5A" w14:textId="77777777" w:rsidR="00255ED6" w:rsidRDefault="00255ED6" w:rsidP="00255ED6">
                  <w:pPr>
                    <w:widowControl w:val="0"/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80%</w:t>
                  </w:r>
                </w:p>
              </w:tc>
            </w:tr>
            <w:tr w:rsidR="00255ED6" w14:paraId="032FB1E3" w14:textId="77777777" w:rsidTr="00952EE2">
              <w:trPr>
                <w:trHeight w:val="457"/>
              </w:trPr>
              <w:tc>
                <w:tcPr>
                  <w:tcW w:w="5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96E2A10" w14:textId="77777777" w:rsidR="00255ED6" w:rsidRDefault="00255ED6" w:rsidP="00255ED6">
                  <w:pPr>
                    <w:widowControl w:val="0"/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Non-PP</w:t>
                  </w:r>
                </w:p>
              </w:tc>
              <w:tc>
                <w:tcPr>
                  <w:tcW w:w="6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2504B7A" w14:textId="77777777" w:rsidR="00255ED6" w:rsidRDefault="00255ED6" w:rsidP="00255ED6">
                  <w:pPr>
                    <w:widowControl w:val="0"/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83%</w:t>
                  </w:r>
                </w:p>
              </w:tc>
              <w:tc>
                <w:tcPr>
                  <w:tcW w:w="6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6C72D8" w14:textId="77777777" w:rsidR="00255ED6" w:rsidRDefault="00255ED6" w:rsidP="00255ED6">
                  <w:pPr>
                    <w:widowControl w:val="0"/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76%</w:t>
                  </w:r>
                </w:p>
              </w:tc>
              <w:tc>
                <w:tcPr>
                  <w:tcW w:w="6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7E950D" w14:textId="77777777" w:rsidR="00255ED6" w:rsidRDefault="00255ED6" w:rsidP="00255ED6">
                  <w:pPr>
                    <w:widowControl w:val="0"/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83%</w:t>
                  </w:r>
                </w:p>
              </w:tc>
              <w:tc>
                <w:tcPr>
                  <w:tcW w:w="6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728B944" w14:textId="77777777" w:rsidR="00255ED6" w:rsidRDefault="00255ED6" w:rsidP="00255ED6">
                  <w:pPr>
                    <w:widowControl w:val="0"/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72%</w:t>
                  </w:r>
                </w:p>
              </w:tc>
              <w:tc>
                <w:tcPr>
                  <w:tcW w:w="6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0581941" w14:textId="77777777" w:rsidR="00255ED6" w:rsidRDefault="00255ED6" w:rsidP="00255ED6">
                  <w:pPr>
                    <w:widowControl w:val="0"/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69%</w:t>
                  </w:r>
                </w:p>
              </w:tc>
              <w:tc>
                <w:tcPr>
                  <w:tcW w:w="7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CDAB42" w14:textId="77777777" w:rsidR="00255ED6" w:rsidRDefault="00255ED6" w:rsidP="00255ED6">
                  <w:pPr>
                    <w:widowControl w:val="0"/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68%</w:t>
                  </w:r>
                </w:p>
              </w:tc>
            </w:tr>
          </w:tbl>
          <w:p w14:paraId="16212DBA" w14:textId="77777777" w:rsidR="006E4760" w:rsidRDefault="006E4760" w:rsidP="00255ED6">
            <w:pPr>
              <w:pStyle w:val="TableRowCentered"/>
              <w:ind w:left="0"/>
              <w:jc w:val="left"/>
              <w:rPr>
                <w:sz w:val="22"/>
                <w:szCs w:val="22"/>
              </w:rPr>
            </w:pPr>
          </w:p>
          <w:p w14:paraId="3EF5527A" w14:textId="1DAE8205" w:rsidR="002F426A" w:rsidRDefault="002F426A" w:rsidP="00B404E4">
            <w:pPr>
              <w:pStyle w:val="TableRowCentered"/>
              <w:jc w:val="left"/>
              <w:rPr>
                <w:sz w:val="22"/>
                <w:szCs w:val="22"/>
              </w:rPr>
            </w:pPr>
          </w:p>
        </w:tc>
      </w:tr>
    </w:tbl>
    <w:p w14:paraId="50C679D3" w14:textId="77777777" w:rsidR="009C471E" w:rsidRDefault="009C471E"/>
    <w:sectPr w:rsidR="009C471E" w:rsidSect="009C471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D11DB"/>
    <w:multiLevelType w:val="hybridMultilevel"/>
    <w:tmpl w:val="EFDEB22E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537B6B5B"/>
    <w:multiLevelType w:val="hybridMultilevel"/>
    <w:tmpl w:val="47526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1C1559"/>
    <w:multiLevelType w:val="hybridMultilevel"/>
    <w:tmpl w:val="4F32ABDE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7C9649FD"/>
    <w:multiLevelType w:val="hybridMultilevel"/>
    <w:tmpl w:val="592C7218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7EB826AC"/>
    <w:multiLevelType w:val="hybridMultilevel"/>
    <w:tmpl w:val="5BD0B318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 w16cid:durableId="431164130">
    <w:abstractNumId w:val="1"/>
  </w:num>
  <w:num w:numId="2" w16cid:durableId="1102385147">
    <w:abstractNumId w:val="0"/>
  </w:num>
  <w:num w:numId="3" w16cid:durableId="1215502125">
    <w:abstractNumId w:val="3"/>
  </w:num>
  <w:num w:numId="4" w16cid:durableId="1392919622">
    <w:abstractNumId w:val="2"/>
  </w:num>
  <w:num w:numId="5" w16cid:durableId="21182574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71E"/>
    <w:rsid w:val="00024C73"/>
    <w:rsid w:val="00087591"/>
    <w:rsid w:val="000E1F80"/>
    <w:rsid w:val="001608C1"/>
    <w:rsid w:val="00160DAE"/>
    <w:rsid w:val="001825E1"/>
    <w:rsid w:val="001A1242"/>
    <w:rsid w:val="001B6E61"/>
    <w:rsid w:val="001C0182"/>
    <w:rsid w:val="001D0566"/>
    <w:rsid w:val="001F61CC"/>
    <w:rsid w:val="002219BB"/>
    <w:rsid w:val="00241255"/>
    <w:rsid w:val="00255ED6"/>
    <w:rsid w:val="00280CCA"/>
    <w:rsid w:val="002832CA"/>
    <w:rsid w:val="002A026D"/>
    <w:rsid w:val="002E13B3"/>
    <w:rsid w:val="002F426A"/>
    <w:rsid w:val="00307000"/>
    <w:rsid w:val="00320389"/>
    <w:rsid w:val="0036682D"/>
    <w:rsid w:val="0047437C"/>
    <w:rsid w:val="004A6E27"/>
    <w:rsid w:val="004C4B53"/>
    <w:rsid w:val="004D13A1"/>
    <w:rsid w:val="004D749D"/>
    <w:rsid w:val="005F3965"/>
    <w:rsid w:val="00601BF7"/>
    <w:rsid w:val="00644595"/>
    <w:rsid w:val="00644A74"/>
    <w:rsid w:val="006D72A8"/>
    <w:rsid w:val="006E4760"/>
    <w:rsid w:val="00772DBF"/>
    <w:rsid w:val="00780783"/>
    <w:rsid w:val="00792E5A"/>
    <w:rsid w:val="0081148D"/>
    <w:rsid w:val="00833AE3"/>
    <w:rsid w:val="008503A4"/>
    <w:rsid w:val="008D6FCA"/>
    <w:rsid w:val="008E5FE6"/>
    <w:rsid w:val="00936C36"/>
    <w:rsid w:val="009C1739"/>
    <w:rsid w:val="009C471E"/>
    <w:rsid w:val="00A373DF"/>
    <w:rsid w:val="00AA4FD4"/>
    <w:rsid w:val="00AC317C"/>
    <w:rsid w:val="00B06EC9"/>
    <w:rsid w:val="00B404E4"/>
    <w:rsid w:val="00B45927"/>
    <w:rsid w:val="00BE5C7D"/>
    <w:rsid w:val="00C16ECA"/>
    <w:rsid w:val="00C21CC5"/>
    <w:rsid w:val="00C34AD2"/>
    <w:rsid w:val="00C40F60"/>
    <w:rsid w:val="00C41050"/>
    <w:rsid w:val="00C869B7"/>
    <w:rsid w:val="00CE13D6"/>
    <w:rsid w:val="00D178E1"/>
    <w:rsid w:val="00D64833"/>
    <w:rsid w:val="00DC3CC3"/>
    <w:rsid w:val="00DD6D3F"/>
    <w:rsid w:val="00E97696"/>
    <w:rsid w:val="00F17B57"/>
    <w:rsid w:val="00F50124"/>
    <w:rsid w:val="00F540FB"/>
    <w:rsid w:val="00F8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787C6"/>
  <w15:chartTrackingRefBased/>
  <w15:docId w15:val="{B4FB078D-5D04-4092-825B-E11A5207C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71E"/>
    <w:pPr>
      <w:suppressAutoHyphens/>
      <w:autoSpaceDN w:val="0"/>
      <w:spacing w:after="240" w:line="288" w:lineRule="auto"/>
    </w:pPr>
    <w:rPr>
      <w:rFonts w:ascii="Arial" w:eastAsia="Times New Roman" w:hAnsi="Arial" w:cs="Times New Roman"/>
      <w:color w:val="0D0D0D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er">
    <w:name w:val="TableHeader"/>
    <w:rsid w:val="009C471E"/>
    <w:pPr>
      <w:suppressAutoHyphens/>
      <w:autoSpaceDN w:val="0"/>
      <w:spacing w:before="60" w:after="60" w:line="240" w:lineRule="auto"/>
      <w:ind w:left="57" w:right="57"/>
      <w:jc w:val="center"/>
    </w:pPr>
    <w:rPr>
      <w:rFonts w:ascii="Arial" w:eastAsia="Times New Roman" w:hAnsi="Arial" w:cs="Times New Roman"/>
      <w:b/>
      <w:color w:val="0D0D0D"/>
      <w:sz w:val="24"/>
      <w:szCs w:val="24"/>
      <w:lang w:eastAsia="en-GB"/>
    </w:rPr>
  </w:style>
  <w:style w:type="paragraph" w:customStyle="1" w:styleId="TableRow">
    <w:name w:val="TableRow"/>
    <w:rsid w:val="009C471E"/>
    <w:pPr>
      <w:suppressAutoHyphens/>
      <w:autoSpaceDN w:val="0"/>
      <w:spacing w:before="60" w:after="60" w:line="240" w:lineRule="auto"/>
      <w:ind w:left="57" w:right="57"/>
    </w:pPr>
    <w:rPr>
      <w:rFonts w:ascii="Arial" w:eastAsia="Times New Roman" w:hAnsi="Arial" w:cs="Times New Roman"/>
      <w:color w:val="0D0D0D"/>
      <w:sz w:val="24"/>
      <w:szCs w:val="24"/>
      <w:lang w:eastAsia="en-GB"/>
    </w:rPr>
  </w:style>
  <w:style w:type="paragraph" w:customStyle="1" w:styleId="TableRowCentered">
    <w:name w:val="TableRowCentered"/>
    <w:basedOn w:val="TableRow"/>
    <w:rsid w:val="009C471E"/>
    <w:pPr>
      <w:jc w:val="center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4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Gilthill Head</dc:creator>
  <cp:keywords/>
  <dc:description/>
  <cp:lastModifiedBy>Gilthill Head</cp:lastModifiedBy>
  <cp:revision>60</cp:revision>
  <dcterms:created xsi:type="dcterms:W3CDTF">2022-08-29T12:55:00Z</dcterms:created>
  <dcterms:modified xsi:type="dcterms:W3CDTF">2022-09-02T08:47:00Z</dcterms:modified>
</cp:coreProperties>
</file>